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1A5B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488" w:lineRule="atLeast"/>
        <w:ind w:left="0" w:right="0" w:firstLine="0"/>
        <w:jc w:val="center"/>
        <w:rPr>
          <w:rFonts w:ascii="socialshare" w:hAnsi="socialshare" w:eastAsia="socialshare" w:cs="socialshare"/>
          <w:i w:val="0"/>
          <w:iCs w:val="0"/>
          <w:caps w:val="0"/>
          <w:color w:val="999999"/>
          <w:spacing w:val="0"/>
          <w:sz w:val="24"/>
          <w:szCs w:val="24"/>
        </w:rPr>
      </w:pPr>
      <w:r>
        <w:rPr>
          <w:rFonts w:hint="eastAsia" w:ascii="微软雅黑" w:hAnsi="微软雅黑" w:eastAsia="微软雅黑" w:cs="微软雅黑"/>
          <w:b w:val="0"/>
          <w:bCs w:val="0"/>
          <w:i w:val="0"/>
          <w:iCs w:val="0"/>
          <w:caps w:val="0"/>
          <w:color w:val="333333"/>
          <w:spacing w:val="0"/>
          <w:sz w:val="37"/>
          <w:szCs w:val="37"/>
        </w:rPr>
        <w:t>同江市住房和城乡建设局政府信息公开指</w:t>
      </w:r>
      <w:r>
        <w:rPr>
          <w:rFonts w:hint="eastAsia" w:ascii="微软雅黑" w:hAnsi="微软雅黑" w:eastAsia="微软雅黑" w:cs="微软雅黑"/>
          <w:b w:val="0"/>
          <w:bCs w:val="0"/>
          <w:i w:val="0"/>
          <w:iCs w:val="0"/>
          <w:caps w:val="0"/>
          <w:color w:val="333333"/>
          <w:spacing w:val="0"/>
          <w:sz w:val="37"/>
          <w:szCs w:val="37"/>
          <w:lang w:val="en-US" w:eastAsia="zh-CN"/>
        </w:rPr>
        <w:t>南</w:t>
      </w:r>
      <w:r>
        <w:rPr>
          <w:rFonts w:hint="default" w:ascii="socialshare" w:hAnsi="socialshare" w:eastAsia="socialshare" w:cs="socialshare"/>
          <w:i w:val="0"/>
          <w:iCs w:val="0"/>
          <w:caps w:val="0"/>
          <w:color w:val="FFFFFF"/>
          <w:spacing w:val="0"/>
          <w:kern w:val="0"/>
          <w:sz w:val="24"/>
          <w:szCs w:val="24"/>
          <w:u w:val="none"/>
          <w:shd w:val="clear" w:fill="999999"/>
          <w:lang w:val="en-US" w:eastAsia="zh-CN" w:bidi="ar"/>
        </w:rPr>
        <w:fldChar w:fldCharType="begin"/>
      </w:r>
      <w:r>
        <w:rPr>
          <w:rFonts w:hint="default" w:ascii="socialshare" w:hAnsi="socialshare" w:eastAsia="socialshare" w:cs="socialshare"/>
          <w:i w:val="0"/>
          <w:iCs w:val="0"/>
          <w:caps w:val="0"/>
          <w:color w:val="FFFFFF"/>
          <w:spacing w:val="0"/>
          <w:kern w:val="0"/>
          <w:sz w:val="24"/>
          <w:szCs w:val="24"/>
          <w:u w:val="none"/>
          <w:shd w:val="clear" w:fill="999999"/>
          <w:lang w:val="en-US" w:eastAsia="zh-CN" w:bidi="ar"/>
        </w:rPr>
        <w:instrText xml:space="preserve"> HYPERLINK "javascript:;" </w:instrText>
      </w:r>
      <w:r>
        <w:rPr>
          <w:rFonts w:hint="default" w:ascii="socialshare" w:hAnsi="socialshare" w:eastAsia="socialshare" w:cs="socialshare"/>
          <w:i w:val="0"/>
          <w:iCs w:val="0"/>
          <w:caps w:val="0"/>
          <w:color w:val="FFFFFF"/>
          <w:spacing w:val="0"/>
          <w:kern w:val="0"/>
          <w:sz w:val="24"/>
          <w:szCs w:val="24"/>
          <w:u w:val="none"/>
          <w:shd w:val="clear" w:fill="999999"/>
          <w:lang w:val="en-US" w:eastAsia="zh-CN" w:bidi="ar"/>
        </w:rPr>
        <w:fldChar w:fldCharType="separate"/>
      </w:r>
      <w:r>
        <w:rPr>
          <w:rFonts w:hint="default" w:ascii="socialshare" w:hAnsi="socialshare" w:eastAsia="socialshare" w:cs="socialshare"/>
          <w:i w:val="0"/>
          <w:iCs w:val="0"/>
          <w:caps w:val="0"/>
          <w:color w:val="FFFFFF"/>
          <w:spacing w:val="0"/>
          <w:kern w:val="0"/>
          <w:sz w:val="24"/>
          <w:szCs w:val="24"/>
          <w:u w:val="none"/>
          <w:shd w:val="clear" w:fill="999999"/>
          <w:lang w:val="en-US" w:eastAsia="zh-CN" w:bidi="ar"/>
        </w:rPr>
        <w:fldChar w:fldCharType="end"/>
      </w:r>
      <w:r>
        <w:rPr>
          <w:rFonts w:hint="default" w:ascii="socialshare" w:hAnsi="socialshare" w:eastAsia="socialshare" w:cs="socialshare"/>
          <w:i w:val="0"/>
          <w:iCs w:val="0"/>
          <w:caps w:val="0"/>
          <w:color w:val="FFFFFF"/>
          <w:spacing w:val="0"/>
          <w:kern w:val="0"/>
          <w:sz w:val="24"/>
          <w:szCs w:val="24"/>
          <w:u w:val="none"/>
          <w:shd w:val="clear" w:fill="999999"/>
          <w:lang w:val="en-US" w:eastAsia="zh-CN" w:bidi="ar"/>
        </w:rPr>
        <w:fldChar w:fldCharType="begin"/>
      </w:r>
      <w:r>
        <w:rPr>
          <w:rFonts w:hint="default" w:ascii="socialshare" w:hAnsi="socialshare" w:eastAsia="socialshare" w:cs="socialshare"/>
          <w:i w:val="0"/>
          <w:iCs w:val="0"/>
          <w:caps w:val="0"/>
          <w:color w:val="FFFFFF"/>
          <w:spacing w:val="0"/>
          <w:kern w:val="0"/>
          <w:sz w:val="24"/>
          <w:szCs w:val="24"/>
          <w:u w:val="none"/>
          <w:shd w:val="clear" w:fill="999999"/>
          <w:lang w:val="en-US" w:eastAsia="zh-CN" w:bidi="ar"/>
        </w:rPr>
        <w:instrText xml:space="preserve"> HYPERLINK "https://service.weibo.com/share/share.php?url=https://www.tongjiang.gov.cn/tjs/gkzn/202301/c04_195935.shtml&amp;title=%E5%90%8C%E6%B1%9F%E5%B8%82%E4%BD%8F%E6%88%BF%E5%92%8C%E5%9F%8E%E4%B9%A1%E5%BB%BA%E8%AE%BE%E5%B1%80%E6%94%BF%E5%BA%9C%E4%BF%A1%E6%81%AF%E5%85%AC%E5%BC%80%E6%8C%87%E5%8D%97_%E6%94%BF%E5%BA%9C%E4%BF%A1%E6%81%AF%E5%85%AC%E5%BC%80%E6%8C%87%E5%8D%97_ %E5%90%8C%E6%B1%9F%E5%B8%82%E4%BA%BA%E6%B0%91%E6%94%BF%E5%BA%9C&amp;pic=https://www.tongjiang.gov.cn/tjs/gkzn/202301/c04_195935.shtml&amp;appkey=" \t "https://www.tongjiang.gov.cn/tjs/gkzn/202301/_blank" </w:instrText>
      </w:r>
      <w:r>
        <w:rPr>
          <w:rFonts w:hint="default" w:ascii="socialshare" w:hAnsi="socialshare" w:eastAsia="socialshare" w:cs="socialshare"/>
          <w:i w:val="0"/>
          <w:iCs w:val="0"/>
          <w:caps w:val="0"/>
          <w:color w:val="FFFFFF"/>
          <w:spacing w:val="0"/>
          <w:kern w:val="0"/>
          <w:sz w:val="24"/>
          <w:szCs w:val="24"/>
          <w:u w:val="none"/>
          <w:shd w:val="clear" w:fill="999999"/>
          <w:lang w:val="en-US" w:eastAsia="zh-CN" w:bidi="ar"/>
        </w:rPr>
        <w:fldChar w:fldCharType="separate"/>
      </w:r>
      <w:r>
        <w:rPr>
          <w:rFonts w:hint="default" w:ascii="socialshare" w:hAnsi="socialshare" w:eastAsia="socialshare" w:cs="socialshare"/>
          <w:i w:val="0"/>
          <w:iCs w:val="0"/>
          <w:caps w:val="0"/>
          <w:color w:val="FFFFFF"/>
          <w:spacing w:val="0"/>
          <w:kern w:val="0"/>
          <w:sz w:val="24"/>
          <w:szCs w:val="24"/>
          <w:u w:val="none"/>
          <w:shd w:val="clear" w:fill="999999"/>
          <w:lang w:val="en-US" w:eastAsia="zh-CN" w:bidi="ar"/>
        </w:rPr>
        <w:fldChar w:fldCharType="end"/>
      </w:r>
      <w:r>
        <w:rPr>
          <w:rFonts w:hint="default" w:ascii="socialshare" w:hAnsi="socialshare" w:eastAsia="socialshare" w:cs="socialshare"/>
          <w:i w:val="0"/>
          <w:iCs w:val="0"/>
          <w:caps w:val="0"/>
          <w:color w:val="FFFFFF"/>
          <w:spacing w:val="0"/>
          <w:kern w:val="0"/>
          <w:sz w:val="24"/>
          <w:szCs w:val="24"/>
          <w:u w:val="none"/>
          <w:shd w:val="clear" w:fill="999999"/>
          <w:lang w:val="en-US" w:eastAsia="zh-CN" w:bidi="ar"/>
        </w:rPr>
        <w:fldChar w:fldCharType="begin"/>
      </w:r>
      <w:r>
        <w:rPr>
          <w:rFonts w:hint="default" w:ascii="socialshare" w:hAnsi="socialshare" w:eastAsia="socialshare" w:cs="socialshare"/>
          <w:i w:val="0"/>
          <w:iCs w:val="0"/>
          <w:caps w:val="0"/>
          <w:color w:val="FFFFFF"/>
          <w:spacing w:val="0"/>
          <w:kern w:val="0"/>
          <w:sz w:val="24"/>
          <w:szCs w:val="24"/>
          <w:u w:val="none"/>
          <w:shd w:val="clear" w:fill="999999"/>
          <w:lang w:val="en-US" w:eastAsia="zh-CN" w:bidi="ar"/>
        </w:rPr>
        <w:instrText xml:space="preserve"> HYPERLINK "http://sns.qzone.qq.com/cgi-bin/qzshare/cgi_qzshare_onekey?url=https://www.tongjiang.gov.cn/tjs/gkzn/202301/c04_195935.shtml&amp;title=%E5%90%8C%E6%B1%9F%E5%B8%82%E4%BD%8F%E6%88%BF%E5%92%8C%E5%9F%8E%E4%B9%A1%E5%BB%BA%E8%AE%BE%E5%B1%80%E6%94%BF%E5%BA%9C%E4%BF%A1%E6%81%AF%E5%85%AC%E5%BC%80%E6%8C%87%E5%8D%97_%E6%94%BF%E5%BA%9C%E4%BF%A1%E6%81%AF%E5%85%AC%E5%BC%80%E6%8C%87%E5%8D%97_ %E5%90%8C%E6%B1%9F%E5%B8%82%E4%BA%BA%E6%B0%91%E6%94%BF%E5%BA%9C&amp;desc=&amp;summary=&amp;site=%E5%90%8C%E6%B1%9F%E5%B8%82%E4%BD%8F%E6%88%BF%E5%92%8C%E5%9F%8E%E4%B9%A1%E5%BB%BA%E8%AE%BE%E5%B1%80%E6%94%BF%E5%BA%9C%E4%BF%A1%E6%81%AF%E5%85%AC%E5%BC%80%E6%8C%87%E5%8D%97_%E6%94%BF%E5%BA%9C%E4%BF%A1%E6%81%AF%E5%85%AC%E5%BC%80%E6%8C%87%E5%8D%97_ %E5%90%8C%E6%B1%9F%E5%B8%82%E4%BA%BA%E6%B0%91%E6%94%BF%E5%BA%9C&amp;pics=https://www.tongjiang.gov.cn/tjs/gkzn/202301/c04_195935.shtml" \t "https://www.tongjiang.gov.cn/tjs/gkzn/202301/_blank" </w:instrText>
      </w:r>
      <w:r>
        <w:rPr>
          <w:rFonts w:hint="default" w:ascii="socialshare" w:hAnsi="socialshare" w:eastAsia="socialshare" w:cs="socialshare"/>
          <w:i w:val="0"/>
          <w:iCs w:val="0"/>
          <w:caps w:val="0"/>
          <w:color w:val="FFFFFF"/>
          <w:spacing w:val="0"/>
          <w:kern w:val="0"/>
          <w:sz w:val="24"/>
          <w:szCs w:val="24"/>
          <w:u w:val="none"/>
          <w:shd w:val="clear" w:fill="999999"/>
          <w:lang w:val="en-US" w:eastAsia="zh-CN" w:bidi="ar"/>
        </w:rPr>
        <w:fldChar w:fldCharType="separate"/>
      </w:r>
      <w:r>
        <w:rPr>
          <w:rFonts w:hint="default" w:ascii="socialshare" w:hAnsi="socialshare" w:eastAsia="socialshare" w:cs="socialshare"/>
          <w:i w:val="0"/>
          <w:iCs w:val="0"/>
          <w:caps w:val="0"/>
          <w:color w:val="FFFFFF"/>
          <w:spacing w:val="0"/>
          <w:kern w:val="0"/>
          <w:sz w:val="24"/>
          <w:szCs w:val="24"/>
          <w:u w:val="none"/>
          <w:shd w:val="clear" w:fill="999999"/>
          <w:lang w:val="en-US" w:eastAsia="zh-CN" w:bidi="ar"/>
        </w:rPr>
        <w:fldChar w:fldCharType="end"/>
      </w:r>
    </w:p>
    <w:p w14:paraId="37784DF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420"/>
        <w:rPr>
          <w:sz w:val="24"/>
          <w:szCs w:val="24"/>
        </w:rPr>
      </w:pPr>
      <w:r>
        <w:rPr>
          <w:rFonts w:hint="eastAsia" w:ascii="微软雅黑" w:hAnsi="微软雅黑" w:eastAsia="微软雅黑" w:cs="微软雅黑"/>
          <w:i w:val="0"/>
          <w:iCs w:val="0"/>
          <w:caps w:val="0"/>
          <w:color w:val="333333"/>
          <w:spacing w:val="0"/>
          <w:sz w:val="24"/>
          <w:szCs w:val="24"/>
        </w:rPr>
        <w:t>为更好地提供政府信息公开服务，便于公民、法人或者其他组织依法获取本机关的政府信息，根据《中华人民共和国政府信息公开条例》(以下简称《条例》)，编制本指南并实时更新。</w:t>
      </w:r>
    </w:p>
    <w:p w14:paraId="4613020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420"/>
        <w:rPr>
          <w:sz w:val="24"/>
          <w:szCs w:val="24"/>
        </w:rPr>
      </w:pPr>
      <w:r>
        <w:rPr>
          <w:rFonts w:hint="eastAsia" w:ascii="微软雅黑" w:hAnsi="微软雅黑" w:eastAsia="微软雅黑" w:cs="微软雅黑"/>
          <w:i w:val="0"/>
          <w:iCs w:val="0"/>
          <w:caps w:val="0"/>
          <w:color w:val="333333"/>
          <w:spacing w:val="0"/>
          <w:sz w:val="24"/>
          <w:szCs w:val="24"/>
        </w:rPr>
        <w:t>一、主动公开政府信息</w:t>
      </w:r>
    </w:p>
    <w:p w14:paraId="12C8085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420"/>
        <w:rPr>
          <w:sz w:val="24"/>
          <w:szCs w:val="24"/>
        </w:rPr>
      </w:pPr>
      <w:r>
        <w:rPr>
          <w:rFonts w:hint="eastAsia" w:ascii="微软雅黑" w:hAnsi="微软雅黑" w:eastAsia="微软雅黑" w:cs="微软雅黑"/>
          <w:i w:val="0"/>
          <w:iCs w:val="0"/>
          <w:caps w:val="0"/>
          <w:color w:val="333333"/>
          <w:spacing w:val="0"/>
          <w:sz w:val="24"/>
          <w:szCs w:val="24"/>
        </w:rPr>
        <w:t>（一）公开内容</w:t>
      </w:r>
    </w:p>
    <w:p w14:paraId="554CE76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420"/>
        <w:rPr>
          <w:sz w:val="24"/>
          <w:szCs w:val="24"/>
        </w:rPr>
      </w:pPr>
      <w:r>
        <w:rPr>
          <w:rFonts w:hint="eastAsia" w:ascii="微软雅黑" w:hAnsi="微软雅黑" w:eastAsia="微软雅黑" w:cs="微软雅黑"/>
          <w:i w:val="0"/>
          <w:iCs w:val="0"/>
          <w:caps w:val="0"/>
          <w:color w:val="333333"/>
          <w:spacing w:val="0"/>
          <w:sz w:val="24"/>
          <w:szCs w:val="24"/>
        </w:rPr>
        <w:t>1.机关简介，包括主要职责、内设机构、领导信息等；</w:t>
      </w:r>
    </w:p>
    <w:p w14:paraId="1204B62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420"/>
        <w:rPr>
          <w:sz w:val="24"/>
          <w:szCs w:val="24"/>
        </w:rPr>
      </w:pPr>
      <w:r>
        <w:rPr>
          <w:rFonts w:hint="eastAsia" w:ascii="微软雅黑" w:hAnsi="微软雅黑" w:eastAsia="微软雅黑" w:cs="微软雅黑"/>
          <w:i w:val="0"/>
          <w:iCs w:val="0"/>
          <w:caps w:val="0"/>
          <w:color w:val="333333"/>
          <w:spacing w:val="0"/>
          <w:sz w:val="24"/>
          <w:szCs w:val="24"/>
        </w:rPr>
        <w:t>2.法规文件，主要包括：由本市制定、与本机关职责相关的地方性法规、规章；以本机关名义发布或者本机关作为主办部门与其他部门联合发布的规范性文件等。</w:t>
      </w:r>
    </w:p>
    <w:p w14:paraId="595459A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420"/>
        <w:rPr>
          <w:sz w:val="24"/>
          <w:szCs w:val="24"/>
        </w:rPr>
      </w:pPr>
      <w:r>
        <w:rPr>
          <w:rFonts w:hint="eastAsia" w:ascii="微软雅黑" w:hAnsi="微软雅黑" w:eastAsia="微软雅黑" w:cs="微软雅黑"/>
          <w:i w:val="0"/>
          <w:iCs w:val="0"/>
          <w:caps w:val="0"/>
          <w:color w:val="333333"/>
          <w:spacing w:val="0"/>
          <w:sz w:val="24"/>
          <w:szCs w:val="24"/>
        </w:rPr>
        <w:t>3.行政职责，包括在行政许可、行政处罚、行政强制等方面依法行使行政职责的有关情况等；</w:t>
      </w:r>
    </w:p>
    <w:p w14:paraId="69A1EFD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420"/>
        <w:rPr>
          <w:sz w:val="24"/>
          <w:szCs w:val="24"/>
        </w:rPr>
      </w:pPr>
      <w:r>
        <w:rPr>
          <w:rFonts w:hint="eastAsia" w:ascii="微软雅黑" w:hAnsi="微软雅黑" w:eastAsia="微软雅黑" w:cs="微软雅黑"/>
          <w:i w:val="0"/>
          <w:iCs w:val="0"/>
          <w:caps w:val="0"/>
          <w:color w:val="333333"/>
          <w:spacing w:val="0"/>
          <w:sz w:val="24"/>
          <w:szCs w:val="24"/>
        </w:rPr>
        <w:t>4.工作动态，包括本部门日常主要工作情况及有关新闻动态等；</w:t>
      </w:r>
    </w:p>
    <w:p w14:paraId="1B43C59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420"/>
        <w:rPr>
          <w:sz w:val="24"/>
          <w:szCs w:val="24"/>
        </w:rPr>
      </w:pPr>
      <w:r>
        <w:rPr>
          <w:rFonts w:hint="eastAsia" w:ascii="微软雅黑" w:hAnsi="微软雅黑" w:eastAsia="微软雅黑" w:cs="微软雅黑"/>
          <w:i w:val="0"/>
          <w:iCs w:val="0"/>
          <w:caps w:val="0"/>
          <w:color w:val="333333"/>
          <w:spacing w:val="0"/>
          <w:sz w:val="24"/>
          <w:szCs w:val="24"/>
        </w:rPr>
        <w:t>5.其他依法应当予以公开的内容。</w:t>
      </w:r>
    </w:p>
    <w:p w14:paraId="39AE674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420"/>
        <w:rPr>
          <w:sz w:val="24"/>
          <w:szCs w:val="24"/>
        </w:rPr>
      </w:pPr>
      <w:r>
        <w:rPr>
          <w:rFonts w:hint="eastAsia" w:ascii="微软雅黑" w:hAnsi="微软雅黑" w:eastAsia="微软雅黑" w:cs="微软雅黑"/>
          <w:i w:val="0"/>
          <w:iCs w:val="0"/>
          <w:caps w:val="0"/>
          <w:color w:val="333333"/>
          <w:spacing w:val="0"/>
          <w:sz w:val="24"/>
          <w:szCs w:val="24"/>
        </w:rPr>
        <w:t>（二）公开方式</w:t>
      </w:r>
    </w:p>
    <w:p w14:paraId="6FBD748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420"/>
        <w:rPr>
          <w:sz w:val="24"/>
          <w:szCs w:val="24"/>
        </w:rPr>
      </w:pPr>
      <w:r>
        <w:rPr>
          <w:rFonts w:hint="eastAsia" w:ascii="微软雅黑" w:hAnsi="微软雅黑" w:eastAsia="微软雅黑" w:cs="微软雅黑"/>
          <w:i w:val="0"/>
          <w:iCs w:val="0"/>
          <w:caps w:val="0"/>
          <w:color w:val="333333"/>
          <w:spacing w:val="0"/>
          <w:sz w:val="24"/>
          <w:szCs w:val="24"/>
        </w:rPr>
        <w:t>通过同江市政府门户网站，网址为 https://www.tongjiang.gov.cn/</w:t>
      </w:r>
    </w:p>
    <w:p w14:paraId="0CF1B7F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420"/>
        <w:rPr>
          <w:sz w:val="24"/>
          <w:szCs w:val="24"/>
        </w:rPr>
      </w:pPr>
      <w:r>
        <w:rPr>
          <w:rFonts w:hint="eastAsia" w:ascii="微软雅黑" w:hAnsi="微软雅黑" w:eastAsia="微软雅黑" w:cs="微软雅黑"/>
          <w:i w:val="0"/>
          <w:iCs w:val="0"/>
          <w:caps w:val="0"/>
          <w:color w:val="333333"/>
          <w:spacing w:val="0"/>
          <w:sz w:val="24"/>
          <w:szCs w:val="24"/>
        </w:rPr>
        <w:t>微信公众号“同江市住房和城乡建设局”。微信号：tjszjj</w:t>
      </w:r>
    </w:p>
    <w:p w14:paraId="55EA3E0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420"/>
        <w:rPr>
          <w:sz w:val="24"/>
          <w:szCs w:val="24"/>
        </w:rPr>
      </w:pPr>
      <w:r>
        <w:rPr>
          <w:rFonts w:hint="eastAsia" w:ascii="微软雅黑" w:hAnsi="微软雅黑" w:eastAsia="微软雅黑" w:cs="微软雅黑"/>
          <w:i w:val="0"/>
          <w:iCs w:val="0"/>
          <w:caps w:val="0"/>
          <w:color w:val="333333"/>
          <w:spacing w:val="0"/>
          <w:sz w:val="24"/>
          <w:szCs w:val="24"/>
        </w:rPr>
        <w:t>二、依申请公开</w:t>
      </w:r>
    </w:p>
    <w:p w14:paraId="5E85AA0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420"/>
        <w:rPr>
          <w:sz w:val="24"/>
          <w:szCs w:val="24"/>
        </w:rPr>
      </w:pPr>
      <w:r>
        <w:rPr>
          <w:rFonts w:hint="eastAsia" w:ascii="微软雅黑" w:hAnsi="微软雅黑" w:eastAsia="微软雅黑" w:cs="微软雅黑"/>
          <w:i w:val="0"/>
          <w:iCs w:val="0"/>
          <w:caps w:val="0"/>
          <w:color w:val="333333"/>
          <w:spacing w:val="0"/>
          <w:sz w:val="24"/>
          <w:szCs w:val="24"/>
        </w:rPr>
        <w:t>（一）受理机构</w:t>
      </w:r>
    </w:p>
    <w:p w14:paraId="502AB7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420"/>
        <w:rPr>
          <w:sz w:val="24"/>
          <w:szCs w:val="24"/>
        </w:rPr>
      </w:pPr>
      <w:r>
        <w:rPr>
          <w:rFonts w:hint="eastAsia" w:ascii="微软雅黑" w:hAnsi="微软雅黑" w:eastAsia="微软雅黑" w:cs="微软雅黑"/>
          <w:i w:val="0"/>
          <w:iCs w:val="0"/>
          <w:caps w:val="0"/>
          <w:color w:val="333333"/>
          <w:spacing w:val="0"/>
          <w:sz w:val="24"/>
          <w:szCs w:val="24"/>
        </w:rPr>
        <w:t>机构名称：同江市住房和城乡建设局</w:t>
      </w:r>
    </w:p>
    <w:p w14:paraId="79B9A9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420"/>
        <w:rPr>
          <w:sz w:val="24"/>
          <w:szCs w:val="24"/>
        </w:rPr>
      </w:pPr>
      <w:r>
        <w:rPr>
          <w:rFonts w:hint="eastAsia" w:ascii="微软雅黑" w:hAnsi="微软雅黑" w:eastAsia="微软雅黑" w:cs="微软雅黑"/>
          <w:i w:val="0"/>
          <w:iCs w:val="0"/>
          <w:caps w:val="0"/>
          <w:color w:val="333333"/>
          <w:spacing w:val="0"/>
          <w:sz w:val="24"/>
          <w:szCs w:val="24"/>
        </w:rPr>
        <w:t>办公地址：同江市大直路471号三楼办公室</w:t>
      </w:r>
    </w:p>
    <w:p w14:paraId="063FB21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420"/>
        <w:rPr>
          <w:sz w:val="24"/>
          <w:szCs w:val="24"/>
        </w:rPr>
      </w:pPr>
      <w:r>
        <w:rPr>
          <w:rFonts w:hint="eastAsia" w:ascii="微软雅黑" w:hAnsi="微软雅黑" w:eastAsia="微软雅黑" w:cs="微软雅黑"/>
          <w:i w:val="0"/>
          <w:iCs w:val="0"/>
          <w:caps w:val="0"/>
          <w:color w:val="333333"/>
          <w:spacing w:val="0"/>
          <w:sz w:val="24"/>
          <w:szCs w:val="24"/>
        </w:rPr>
        <w:t>邮政编码：156400</w:t>
      </w:r>
    </w:p>
    <w:p w14:paraId="40506D0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420"/>
        <w:rPr>
          <w:sz w:val="24"/>
          <w:szCs w:val="24"/>
        </w:rPr>
      </w:pPr>
      <w:r>
        <w:rPr>
          <w:rFonts w:hint="eastAsia" w:ascii="微软雅黑" w:hAnsi="微软雅黑" w:eastAsia="微软雅黑" w:cs="微软雅黑"/>
          <w:i w:val="0"/>
          <w:iCs w:val="0"/>
          <w:caps w:val="0"/>
          <w:color w:val="333333"/>
          <w:spacing w:val="0"/>
          <w:sz w:val="24"/>
          <w:szCs w:val="24"/>
        </w:rPr>
        <w:t>（二）受理程序</w:t>
      </w:r>
    </w:p>
    <w:p w14:paraId="255A4A8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420"/>
        <w:rPr>
          <w:sz w:val="24"/>
          <w:szCs w:val="24"/>
        </w:rPr>
      </w:pPr>
      <w:r>
        <w:rPr>
          <w:rFonts w:hint="eastAsia" w:ascii="微软雅黑" w:hAnsi="微软雅黑" w:eastAsia="微软雅黑" w:cs="微软雅黑"/>
          <w:i w:val="0"/>
          <w:iCs w:val="0"/>
          <w:caps w:val="0"/>
          <w:color w:val="333333"/>
          <w:spacing w:val="0"/>
          <w:sz w:val="24"/>
          <w:szCs w:val="24"/>
        </w:rPr>
        <w:t>申请人向本机关申请公开政府信息，应填写《政府信息公开申请表》。《申请表》可以在受理机构处领取，也可以在同江市政府网站（https://www.tongjiang.gov.cn/gov_index.php）下载，《申请表》复制有效。为提高处理效率，申请人对所需信息的描述应尽量详细、明确，若有可能，请提供信息的标题、发布时间、文号或者其他有助于本机关明确该信息载体的提示。</w:t>
      </w:r>
    </w:p>
    <w:p w14:paraId="72826F3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420"/>
        <w:rPr>
          <w:sz w:val="24"/>
          <w:szCs w:val="24"/>
        </w:rPr>
      </w:pPr>
      <w:r>
        <w:rPr>
          <w:rFonts w:hint="eastAsia" w:ascii="微软雅黑" w:hAnsi="微软雅黑" w:eastAsia="微软雅黑" w:cs="微软雅黑"/>
          <w:i w:val="0"/>
          <w:iCs w:val="0"/>
          <w:caps w:val="0"/>
          <w:color w:val="333333"/>
          <w:spacing w:val="0"/>
          <w:sz w:val="24"/>
          <w:szCs w:val="24"/>
        </w:rPr>
        <w:t>（三）申请渠道</w:t>
      </w:r>
    </w:p>
    <w:p w14:paraId="236F49A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420"/>
        <w:rPr>
          <w:sz w:val="24"/>
          <w:szCs w:val="24"/>
        </w:rPr>
      </w:pPr>
      <w:r>
        <w:rPr>
          <w:rFonts w:hint="eastAsia" w:ascii="微软雅黑" w:hAnsi="微软雅黑" w:eastAsia="微软雅黑" w:cs="微软雅黑"/>
          <w:i w:val="0"/>
          <w:iCs w:val="0"/>
          <w:caps w:val="0"/>
          <w:color w:val="333333"/>
          <w:spacing w:val="0"/>
          <w:sz w:val="24"/>
          <w:szCs w:val="24"/>
        </w:rPr>
        <w:t>1.通过互联网提出申请。申请人可登录同江市人民政府门户网站“https://www.tongjiang.gov.cn/gov_index.php”，直接在网上提出申请。</w:t>
      </w:r>
    </w:p>
    <w:p w14:paraId="794A6BE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420"/>
        <w:rPr>
          <w:sz w:val="24"/>
          <w:szCs w:val="24"/>
        </w:rPr>
      </w:pPr>
      <w:r>
        <w:rPr>
          <w:rFonts w:hint="eastAsia" w:ascii="微软雅黑" w:hAnsi="微软雅黑" w:eastAsia="微软雅黑" w:cs="微软雅黑"/>
          <w:i w:val="0"/>
          <w:iCs w:val="0"/>
          <w:caps w:val="0"/>
          <w:color w:val="333333"/>
          <w:spacing w:val="0"/>
          <w:sz w:val="24"/>
          <w:szCs w:val="24"/>
        </w:rPr>
        <w:t>2.通过信函提出申请。申请人可将填写的《申请表》文本，通过信函方式发送至信息公开受理机构，提出信息公开申请。通过信函方式提出申请的，请在信封左下角注明“政府信息公开申请”字样。信函到达时间即为申请时间。（收件地址：同江市大直路471号同江市住房和城乡建设局三楼办公室；收件电话：0454-</w:t>
      </w:r>
      <w:r>
        <w:rPr>
          <w:rFonts w:hint="eastAsia" w:ascii="微软雅黑" w:hAnsi="微软雅黑" w:eastAsia="微软雅黑" w:cs="微软雅黑"/>
          <w:i w:val="0"/>
          <w:iCs w:val="0"/>
          <w:caps w:val="0"/>
          <w:color w:val="333333"/>
          <w:spacing w:val="0"/>
          <w:sz w:val="24"/>
          <w:szCs w:val="24"/>
          <w:lang w:val="en-US" w:eastAsia="zh-CN"/>
        </w:rPr>
        <w:t>2923271</w:t>
      </w:r>
      <w:r>
        <w:rPr>
          <w:rFonts w:hint="eastAsia" w:ascii="微软雅黑" w:hAnsi="微软雅黑" w:eastAsia="微软雅黑" w:cs="微软雅黑"/>
          <w:i w:val="0"/>
          <w:iCs w:val="0"/>
          <w:caps w:val="0"/>
          <w:color w:val="333333"/>
          <w:spacing w:val="0"/>
          <w:sz w:val="24"/>
          <w:szCs w:val="24"/>
        </w:rPr>
        <w:t>；邮政编码：156400）</w:t>
      </w:r>
    </w:p>
    <w:p w14:paraId="3251C06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420"/>
        <w:rPr>
          <w:sz w:val="24"/>
          <w:szCs w:val="24"/>
        </w:rPr>
      </w:pPr>
      <w:r>
        <w:rPr>
          <w:rFonts w:hint="eastAsia" w:ascii="微软雅黑" w:hAnsi="微软雅黑" w:eastAsia="微软雅黑" w:cs="微软雅黑"/>
          <w:i w:val="0"/>
          <w:iCs w:val="0"/>
          <w:caps w:val="0"/>
          <w:color w:val="333333"/>
          <w:spacing w:val="0"/>
          <w:sz w:val="24"/>
          <w:szCs w:val="24"/>
        </w:rPr>
        <w:t>3.当面申请。申请人可到信息公开受理机构当场提出申请。如填写《申请表》确有困难的，申请人可以口头提出，由工作人员代为填写政府信息公开申请的受理单位不直接受理通过电话方式提出的申请，但申请人可通过电话咨询相应的服务业务。（当面申请地址：同江市大直路471号同江市住房和城乡建设局三楼办公室）</w:t>
      </w:r>
    </w:p>
    <w:p w14:paraId="7A6B418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420"/>
        <w:rPr>
          <w:sz w:val="24"/>
          <w:szCs w:val="24"/>
        </w:rPr>
      </w:pPr>
      <w:r>
        <w:rPr>
          <w:rFonts w:hint="eastAsia" w:ascii="微软雅黑" w:hAnsi="微软雅黑" w:eastAsia="微软雅黑" w:cs="微软雅黑"/>
          <w:i w:val="0"/>
          <w:iCs w:val="0"/>
          <w:caps w:val="0"/>
          <w:color w:val="333333"/>
          <w:spacing w:val="0"/>
          <w:sz w:val="24"/>
          <w:szCs w:val="24"/>
        </w:rPr>
        <w:t>（四）申请处理</w:t>
      </w:r>
    </w:p>
    <w:p w14:paraId="4EA0506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420"/>
        <w:jc w:val="both"/>
        <w:rPr>
          <w:sz w:val="24"/>
          <w:szCs w:val="24"/>
        </w:rPr>
      </w:pPr>
      <w:r>
        <w:rPr>
          <w:rFonts w:hint="eastAsia" w:ascii="微软雅黑" w:hAnsi="微软雅黑" w:eastAsia="微软雅黑" w:cs="微软雅黑"/>
          <w:i w:val="0"/>
          <w:iCs w:val="0"/>
          <w:caps w:val="0"/>
          <w:color w:val="333333"/>
          <w:spacing w:val="0"/>
          <w:sz w:val="24"/>
          <w:szCs w:val="24"/>
        </w:rPr>
        <w:t>1.审查。收到申请人申请后，对申请要件是否完备进行审查，对要件不完备的将告知申请人予以补正。</w:t>
      </w:r>
    </w:p>
    <w:p w14:paraId="3B6AB8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420"/>
        <w:jc w:val="both"/>
        <w:rPr>
          <w:sz w:val="24"/>
          <w:szCs w:val="24"/>
        </w:rPr>
      </w:pPr>
      <w:r>
        <w:rPr>
          <w:rFonts w:hint="eastAsia" w:ascii="微软雅黑" w:hAnsi="微软雅黑" w:eastAsia="微软雅黑" w:cs="微软雅黑"/>
          <w:i w:val="0"/>
          <w:iCs w:val="0"/>
          <w:caps w:val="0"/>
          <w:color w:val="333333"/>
          <w:spacing w:val="0"/>
          <w:sz w:val="24"/>
          <w:szCs w:val="24"/>
        </w:rPr>
        <w:t>2.登记。对于《申请表》填写完整且申请人提供了有效身份证明的申请将即时登记，并根据收到申请的先后顺序进行处理。</w:t>
      </w:r>
    </w:p>
    <w:p w14:paraId="5168256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420"/>
        <w:jc w:val="both"/>
        <w:rPr>
          <w:sz w:val="24"/>
          <w:szCs w:val="24"/>
        </w:rPr>
      </w:pPr>
      <w:r>
        <w:rPr>
          <w:rFonts w:hint="eastAsia" w:ascii="微软雅黑" w:hAnsi="微软雅黑" w:eastAsia="微软雅黑" w:cs="微软雅黑"/>
          <w:i w:val="0"/>
          <w:iCs w:val="0"/>
          <w:caps w:val="0"/>
          <w:color w:val="333333"/>
          <w:spacing w:val="0"/>
          <w:sz w:val="24"/>
          <w:szCs w:val="24"/>
        </w:rPr>
        <w:t>3.答复。受理机构根据实际情况，对能够当场答复的，将当场予以答复；不能当场答复的，将自收到申请之日起20个工作日内予以答复；确需延长答复期限的，将延长20个工作日进行答复，并告知申请人。</w:t>
      </w:r>
    </w:p>
    <w:p w14:paraId="42DF89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420"/>
        <w:rPr>
          <w:sz w:val="24"/>
          <w:szCs w:val="24"/>
        </w:rPr>
      </w:pPr>
      <w:r>
        <w:rPr>
          <w:rFonts w:hint="eastAsia" w:ascii="微软雅黑" w:hAnsi="微软雅黑" w:eastAsia="微软雅黑" w:cs="微软雅黑"/>
          <w:i w:val="0"/>
          <w:iCs w:val="0"/>
          <w:caps w:val="0"/>
          <w:color w:val="333333"/>
          <w:spacing w:val="0"/>
          <w:sz w:val="24"/>
          <w:szCs w:val="24"/>
        </w:rPr>
        <w:t>（五）收费标准</w:t>
      </w:r>
    </w:p>
    <w:p w14:paraId="268C93B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420"/>
        <w:jc w:val="both"/>
        <w:rPr>
          <w:sz w:val="24"/>
          <w:szCs w:val="24"/>
        </w:rPr>
      </w:pPr>
      <w:r>
        <w:rPr>
          <w:rFonts w:hint="eastAsia" w:ascii="微软雅黑" w:hAnsi="微软雅黑" w:eastAsia="微软雅黑" w:cs="微软雅黑"/>
          <w:i w:val="0"/>
          <w:iCs w:val="0"/>
          <w:caps w:val="0"/>
          <w:color w:val="333333"/>
          <w:spacing w:val="0"/>
          <w:sz w:val="24"/>
          <w:szCs w:val="24"/>
        </w:rPr>
        <w:t>本机关依申请提供政府信息，不收取费用。但是申请人申请公开政府信息的数量、频次明显超过合理范围的，本机关将按照《国务院办公厅关于印发〈政府信息公开信息处理费管理办法〉的通知》（国办函〔2020〕109号）规定收取信息处理费。</w:t>
      </w:r>
    </w:p>
    <w:p w14:paraId="104A05D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420"/>
        <w:jc w:val="both"/>
        <w:rPr>
          <w:sz w:val="24"/>
          <w:szCs w:val="24"/>
        </w:rPr>
      </w:pPr>
      <w:r>
        <w:rPr>
          <w:rFonts w:hint="eastAsia" w:ascii="微软雅黑" w:hAnsi="微软雅黑" w:eastAsia="微软雅黑" w:cs="微软雅黑"/>
          <w:i w:val="0"/>
          <w:iCs w:val="0"/>
          <w:caps w:val="0"/>
          <w:color w:val="333333"/>
          <w:spacing w:val="0"/>
          <w:sz w:val="24"/>
          <w:szCs w:val="24"/>
        </w:rPr>
        <w:t>三、不予公开情形</w:t>
      </w:r>
    </w:p>
    <w:p w14:paraId="69E429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420"/>
        <w:rPr>
          <w:sz w:val="24"/>
          <w:szCs w:val="24"/>
        </w:rPr>
      </w:pPr>
      <w:r>
        <w:rPr>
          <w:rFonts w:hint="eastAsia" w:ascii="微软雅黑" w:hAnsi="微软雅黑" w:eastAsia="微软雅黑" w:cs="微软雅黑"/>
          <w:i w:val="0"/>
          <w:iCs w:val="0"/>
          <w:caps w:val="0"/>
          <w:color w:val="333333"/>
          <w:spacing w:val="0"/>
          <w:sz w:val="24"/>
          <w:szCs w:val="24"/>
        </w:rPr>
        <w:t>依法确定为国家秘密的政府信息，法律、行政法规禁止公开的政府信息，以及公开后可能危及国家安全、公共安全、经济安全、社会稳定的政府信息，不予公开。涉及商业秘密、个人隐私等公开会对第三方合法权益造成损害的政府信息，行政机关不得公开。但是，第三方同意公开或者行政机关认为不公开会对公共利益造成重大影响的，予以公开。行政机关的内部事务信息，包括人事管理、后勤管理、内部工作流程等方面的信息，可以不予公开。行政机关在履行行政管理职能过程中形成的讨论记录、过程稿、磋商信函、请示报告等过程性信息以及行政执法案卷信息，可以不予公开。</w:t>
      </w:r>
    </w:p>
    <w:p w14:paraId="79F624F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420"/>
        <w:rPr>
          <w:sz w:val="24"/>
          <w:szCs w:val="24"/>
        </w:rPr>
      </w:pPr>
      <w:r>
        <w:rPr>
          <w:rFonts w:hint="eastAsia" w:ascii="微软雅黑" w:hAnsi="微软雅黑" w:eastAsia="微软雅黑" w:cs="微软雅黑"/>
          <w:i w:val="0"/>
          <w:iCs w:val="0"/>
          <w:caps w:val="0"/>
          <w:color w:val="333333"/>
          <w:spacing w:val="0"/>
          <w:sz w:val="24"/>
          <w:szCs w:val="24"/>
        </w:rPr>
        <w:t>四、同江市住房和城乡建设局信息公开工作机构</w:t>
      </w:r>
    </w:p>
    <w:p w14:paraId="2C31F7E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420"/>
        <w:rPr>
          <w:sz w:val="24"/>
          <w:szCs w:val="24"/>
        </w:rPr>
      </w:pPr>
      <w:r>
        <w:rPr>
          <w:rFonts w:hint="eastAsia" w:ascii="微软雅黑" w:hAnsi="微软雅黑" w:eastAsia="微软雅黑" w:cs="微软雅黑"/>
          <w:i w:val="0"/>
          <w:iCs w:val="0"/>
          <w:caps w:val="0"/>
          <w:color w:val="333333"/>
          <w:spacing w:val="0"/>
          <w:sz w:val="24"/>
          <w:szCs w:val="24"/>
        </w:rPr>
        <w:t>工作机构：同江市住房和城乡建设局</w:t>
      </w:r>
    </w:p>
    <w:p w14:paraId="7C7EC0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420"/>
        <w:rPr>
          <w:sz w:val="24"/>
          <w:szCs w:val="24"/>
        </w:rPr>
      </w:pPr>
      <w:r>
        <w:rPr>
          <w:rFonts w:hint="eastAsia" w:ascii="微软雅黑" w:hAnsi="微软雅黑" w:eastAsia="微软雅黑" w:cs="微软雅黑"/>
          <w:i w:val="0"/>
          <w:iCs w:val="0"/>
          <w:caps w:val="0"/>
          <w:color w:val="333333"/>
          <w:spacing w:val="0"/>
          <w:sz w:val="24"/>
          <w:szCs w:val="24"/>
        </w:rPr>
        <w:t>办公地址：同江市大直路471号三楼办公室</w:t>
      </w:r>
    </w:p>
    <w:p w14:paraId="4787E85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420"/>
        <w:rPr>
          <w:sz w:val="24"/>
          <w:szCs w:val="24"/>
        </w:rPr>
      </w:pPr>
      <w:r>
        <w:rPr>
          <w:rFonts w:hint="eastAsia" w:ascii="微软雅黑" w:hAnsi="微软雅黑" w:eastAsia="微软雅黑" w:cs="微软雅黑"/>
          <w:i w:val="0"/>
          <w:iCs w:val="0"/>
          <w:caps w:val="0"/>
          <w:color w:val="333333"/>
          <w:spacing w:val="0"/>
          <w:sz w:val="24"/>
          <w:szCs w:val="24"/>
        </w:rPr>
        <w:t>办公时间：周一至周五，8:30—11:30，13:30—17:00（法定节假日除外）</w:t>
      </w:r>
    </w:p>
    <w:p w14:paraId="0766DD9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420"/>
        <w:rPr>
          <w:rFonts w:hint="eastAsia" w:ascii="微软雅黑" w:hAnsi="微软雅黑" w:eastAsia="微软雅黑" w:cs="微软雅黑"/>
          <w:i w:val="0"/>
          <w:iCs w:val="0"/>
          <w:caps w:val="0"/>
          <w:color w:val="333333"/>
          <w:spacing w:val="0"/>
          <w:sz w:val="24"/>
          <w:szCs w:val="24"/>
          <w:lang w:val="en-US" w:eastAsia="zh-CN"/>
        </w:rPr>
      </w:pPr>
      <w:r>
        <w:rPr>
          <w:rFonts w:hint="eastAsia" w:ascii="微软雅黑" w:hAnsi="微软雅黑" w:eastAsia="微软雅黑" w:cs="微软雅黑"/>
          <w:i w:val="0"/>
          <w:iCs w:val="0"/>
          <w:caps w:val="0"/>
          <w:color w:val="333333"/>
          <w:spacing w:val="0"/>
          <w:sz w:val="24"/>
          <w:szCs w:val="24"/>
        </w:rPr>
        <w:t>联系电话：0454—</w:t>
      </w:r>
      <w:r>
        <w:rPr>
          <w:rFonts w:hint="eastAsia" w:ascii="微软雅黑" w:hAnsi="微软雅黑" w:eastAsia="微软雅黑" w:cs="微软雅黑"/>
          <w:i w:val="0"/>
          <w:iCs w:val="0"/>
          <w:caps w:val="0"/>
          <w:color w:val="333333"/>
          <w:spacing w:val="0"/>
          <w:sz w:val="24"/>
          <w:szCs w:val="24"/>
          <w:lang w:val="en-US" w:eastAsia="zh-CN"/>
        </w:rPr>
        <w:t>2923271</w:t>
      </w:r>
      <w:bookmarkStart w:id="0" w:name="_GoBack"/>
      <w:bookmarkEnd w:id="0"/>
    </w:p>
    <w:p w14:paraId="3044D99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420"/>
        <w:rPr>
          <w:sz w:val="24"/>
          <w:szCs w:val="24"/>
        </w:rPr>
      </w:pPr>
      <w:r>
        <w:rPr>
          <w:rFonts w:hint="eastAsia" w:ascii="微软雅黑" w:hAnsi="微软雅黑" w:eastAsia="微软雅黑" w:cs="微软雅黑"/>
          <w:i w:val="0"/>
          <w:iCs w:val="0"/>
          <w:caps w:val="0"/>
          <w:color w:val="333333"/>
          <w:spacing w:val="0"/>
          <w:sz w:val="24"/>
          <w:szCs w:val="24"/>
        </w:rPr>
        <w:t>电子邮箱：tjzjjbgs@.163.com(此邮箱不受理依申请公开）</w:t>
      </w:r>
    </w:p>
    <w:p w14:paraId="044035F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420"/>
        <w:rPr>
          <w:sz w:val="24"/>
          <w:szCs w:val="24"/>
        </w:rPr>
      </w:pPr>
      <w:r>
        <w:rPr>
          <w:rFonts w:hint="eastAsia" w:ascii="微软雅黑" w:hAnsi="微软雅黑" w:eastAsia="微软雅黑" w:cs="微软雅黑"/>
          <w:i w:val="0"/>
          <w:iCs w:val="0"/>
          <w:caps w:val="0"/>
          <w:color w:val="333333"/>
          <w:spacing w:val="0"/>
          <w:sz w:val="24"/>
          <w:szCs w:val="24"/>
        </w:rPr>
        <w:t>邮政编码：156400</w:t>
      </w:r>
    </w:p>
    <w:p w14:paraId="4958666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420"/>
        <w:rPr>
          <w:sz w:val="24"/>
          <w:szCs w:val="24"/>
        </w:rPr>
      </w:pPr>
      <w:r>
        <w:rPr>
          <w:rFonts w:hint="eastAsia" w:ascii="微软雅黑" w:hAnsi="微软雅黑" w:eastAsia="微软雅黑" w:cs="微软雅黑"/>
          <w:i w:val="0"/>
          <w:iCs w:val="0"/>
          <w:caps w:val="0"/>
          <w:color w:val="333333"/>
          <w:spacing w:val="0"/>
          <w:sz w:val="24"/>
          <w:szCs w:val="24"/>
        </w:rPr>
        <w:t>五、监督和救济</w:t>
      </w:r>
    </w:p>
    <w:p w14:paraId="105264C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420"/>
        <w:rPr>
          <w:sz w:val="24"/>
          <w:szCs w:val="24"/>
        </w:rPr>
      </w:pPr>
      <w:r>
        <w:rPr>
          <w:rFonts w:hint="eastAsia" w:ascii="微软雅黑" w:hAnsi="微软雅黑" w:eastAsia="微软雅黑" w:cs="微软雅黑"/>
          <w:i w:val="0"/>
          <w:iCs w:val="0"/>
          <w:caps w:val="0"/>
          <w:color w:val="333333"/>
          <w:spacing w:val="0"/>
          <w:sz w:val="24"/>
          <w:szCs w:val="24"/>
        </w:rPr>
        <w:t>公民、法人或者其他组织认为本机关在政府信息公开工作中侵犯其合法权益的，可以向上一级行政机关或者政府信息公开工作主管部门投诉、举报，也可以依法申请行政复议或者提起行政诉讼。</w:t>
      </w:r>
    </w:p>
    <w:p w14:paraId="577A396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ocialshare">
    <w:altName w:val="ksdb"/>
    <w:panose1 w:val="00000000000000000000"/>
    <w:charset w:val="00"/>
    <w:family w:val="auto"/>
    <w:pitch w:val="default"/>
    <w:sig w:usb0="00000000" w:usb1="00000000" w:usb2="00000000" w:usb3="00000000" w:csb0="00000000" w:csb1="00000000"/>
  </w:font>
  <w:font w:name="ksdb">
    <w:panose1 w:val="02000500000000000000"/>
    <w:charset w:val="00"/>
    <w:family w:val="auto"/>
    <w:pitch w:val="default"/>
    <w:sig w:usb0="00000001"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1404D5"/>
    <w:rsid w:val="1E3C6F48"/>
    <w:rsid w:val="451404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1682</Words>
  <Characters>1905</Characters>
  <Lines>0</Lines>
  <Paragraphs>0</Paragraphs>
  <TotalTime>1</TotalTime>
  <ScaleCrop>false</ScaleCrop>
  <LinksUpToDate>false</LinksUpToDate>
  <CharactersWithSpaces>1906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2026-06-22T01:19:00Z</dcterms:created>
  <dc:creator>精灵</dc:creator>
  <cp:lastModifiedBy>精灵</cp:lastModifiedBy>
  <dcterms:modified xsi:type="dcterms:W3CDTF">2026-06-22T01:57:59Z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E6F0F5AD912143FE90450691DC36F188_11</vt:lpwstr>
  </property>
  <property fmtid="{D5CDD505-2E9C-101B-9397-08002B2CF9AE}" pid="4" name="KSOTemplateDocerSaveRecord">
    <vt:lpwstr>eyJoZGlkIjoiOTQ0YWNhZDJlMGYzYWRmNmE0NWQ5NmE2YmE3ZmRhOTQiLCJ1c2VySWQiOiI0MTQxNjg2NDYifQ==</vt:lpwstr>
  </property>
</Properties>
</file>