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3C47A">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同江市</w:t>
      </w:r>
      <w:r>
        <w:rPr>
          <w:rFonts w:hint="eastAsia" w:ascii="方正小标宋简体" w:hAnsi="方正小标宋简体" w:eastAsia="方正小标宋简体" w:cs="方正小标宋简体"/>
          <w:b w:val="0"/>
          <w:bCs w:val="0"/>
          <w:sz w:val="44"/>
          <w:szCs w:val="44"/>
          <w:lang w:eastAsia="zh-CN"/>
        </w:rPr>
        <w:t>20</w:t>
      </w:r>
      <w:r>
        <w:rPr>
          <w:rFonts w:hint="eastAsia" w:ascii="方正小标宋简体" w:hAnsi="方正小标宋简体" w:eastAsia="方正小标宋简体" w:cs="方正小标宋简体"/>
          <w:b w:val="0"/>
          <w:bCs w:val="0"/>
          <w:sz w:val="44"/>
          <w:szCs w:val="44"/>
          <w:lang w:val="en-US" w:eastAsia="zh-CN"/>
        </w:rPr>
        <w:t>24</w:t>
      </w:r>
      <w:r>
        <w:rPr>
          <w:rFonts w:hint="eastAsia" w:ascii="方正小标宋简体" w:hAnsi="方正小标宋简体" w:eastAsia="方正小标宋简体" w:cs="方正小标宋简体"/>
          <w:b w:val="0"/>
          <w:bCs w:val="0"/>
          <w:sz w:val="44"/>
          <w:szCs w:val="44"/>
        </w:rPr>
        <w:t>年政府信息公开工作年度报告</w:t>
      </w:r>
    </w:p>
    <w:p w14:paraId="4B4823F0">
      <w:pPr>
        <w:keepNext w:val="0"/>
        <w:keepLines w:val="0"/>
        <w:pageBreakBefore w:val="0"/>
        <w:kinsoku/>
        <w:wordWrap/>
        <w:overflowPunct/>
        <w:topLinePunct w:val="0"/>
        <w:autoSpaceDE/>
        <w:autoSpaceDN/>
        <w:bidi w:val="0"/>
        <w:adjustRightInd/>
        <w:snapToGrid/>
        <w:spacing w:line="600" w:lineRule="exact"/>
        <w:jc w:val="both"/>
        <w:rPr>
          <w:rFonts w:hint="default" w:ascii="Times New Roman" w:hAnsi="Times New Roman" w:cs="Times New Roman" w:eastAsiaTheme="majorEastAsia"/>
          <w:b/>
          <w:bCs/>
          <w:sz w:val="36"/>
          <w:szCs w:val="36"/>
        </w:rPr>
      </w:pPr>
    </w:p>
    <w:p w14:paraId="73493A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同江市</w:t>
      </w:r>
      <w:r>
        <w:rPr>
          <w:rFonts w:hint="default" w:ascii="Times New Roman" w:hAnsi="Times New Roman" w:eastAsia="仿宋_GB2312" w:cs="Times New Roman"/>
          <w:sz w:val="32"/>
          <w:szCs w:val="32"/>
          <w:lang w:eastAsia="zh-CN"/>
        </w:rPr>
        <w:t>坚持以习近平新时代中国特色社会主义思想为指导，全面贯彻落实《</w:t>
      </w:r>
      <w:r>
        <w:rPr>
          <w:rFonts w:hint="eastAsia" w:ascii="Times New Roman" w:hAnsi="Times New Roman" w:eastAsia="仿宋_GB2312" w:cs="Times New Roman"/>
          <w:sz w:val="32"/>
          <w:szCs w:val="32"/>
          <w:lang w:val="en-US" w:eastAsia="zh-CN"/>
        </w:rPr>
        <w:t>中华人民共和国政府信息公开</w:t>
      </w:r>
      <w:r>
        <w:rPr>
          <w:rFonts w:hint="default" w:ascii="Times New Roman" w:hAnsi="Times New Roman" w:eastAsia="仿宋_GB2312" w:cs="Times New Roman"/>
          <w:sz w:val="32"/>
          <w:szCs w:val="32"/>
          <w:lang w:eastAsia="zh-CN"/>
        </w:rPr>
        <w:t>条例》和</w:t>
      </w:r>
      <w:r>
        <w:rPr>
          <w:rFonts w:hint="default" w:ascii="Times New Roman" w:hAnsi="Times New Roman" w:eastAsia="仿宋_GB2312" w:cs="Times New Roman"/>
          <w:sz w:val="32"/>
          <w:szCs w:val="32"/>
          <w:lang w:val="en-US" w:eastAsia="zh-CN"/>
        </w:rPr>
        <w:t>省政府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佳木斯</w:t>
      </w:r>
      <w:r>
        <w:rPr>
          <w:rFonts w:hint="default" w:ascii="Times New Roman" w:hAnsi="Times New Roman" w:eastAsia="仿宋_GB2312" w:cs="Times New Roman"/>
          <w:sz w:val="32"/>
          <w:szCs w:val="32"/>
          <w:lang w:eastAsia="zh-CN"/>
        </w:rPr>
        <w:t>市政府关于政务公开的工作要求，围绕</w:t>
      </w:r>
      <w:r>
        <w:rPr>
          <w:rFonts w:hint="default" w:ascii="Times New Roman" w:hAnsi="Times New Roman" w:eastAsia="仿宋_GB2312" w:cs="Times New Roman"/>
          <w:sz w:val="32"/>
          <w:szCs w:val="32"/>
          <w:lang w:val="en-US" w:eastAsia="zh-CN"/>
        </w:rPr>
        <w:t>全市</w:t>
      </w:r>
      <w:r>
        <w:rPr>
          <w:rFonts w:hint="default" w:ascii="Times New Roman" w:hAnsi="Times New Roman" w:eastAsia="仿宋_GB2312" w:cs="Times New Roman"/>
          <w:sz w:val="32"/>
          <w:szCs w:val="32"/>
          <w:lang w:eastAsia="zh-CN"/>
        </w:rPr>
        <w:t>中心工作，不断完善工作机制、拓展公开渠道、强化队伍建设，进一步提升政务公开质效。</w:t>
      </w:r>
    </w:p>
    <w:p w14:paraId="777AE3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一、总体情况</w:t>
      </w:r>
    </w:p>
    <w:p w14:paraId="144FAB4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(一)主动公开情况。</w:t>
      </w:r>
      <w:r>
        <w:rPr>
          <w:rFonts w:hint="default" w:ascii="Times New Roman" w:hAnsi="Times New Roman" w:eastAsia="仿宋_GB2312" w:cs="Times New Roman"/>
          <w:b w:val="0"/>
          <w:bCs w:val="0"/>
          <w:sz w:val="32"/>
          <w:szCs w:val="32"/>
          <w:highlight w:val="none"/>
          <w:lang w:val="en-US" w:eastAsia="zh-CN"/>
        </w:rPr>
        <w:t>2024年，同江市</w:t>
      </w:r>
      <w:r>
        <w:rPr>
          <w:rFonts w:hint="default" w:ascii="Times New Roman" w:hAnsi="Times New Roman" w:eastAsia="仿宋_GB2312" w:cs="Times New Roman"/>
          <w:b w:val="0"/>
          <w:bCs w:val="0"/>
          <w:sz w:val="32"/>
          <w:szCs w:val="32"/>
          <w:lang w:val="en-US" w:eastAsia="zh-CN"/>
        </w:rPr>
        <w:t>聚焦安全、发展、民生等领域，持续加大基层政务、社会保障、稳岗就业等重点领域信息公开力度，做到除涉密信息外的政府信息及时、主动向社会公开</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highlight w:val="none"/>
          <w:lang w:val="en-US" w:eastAsia="zh-CN"/>
        </w:rPr>
        <w:t>2024年，通过政府门户网站和政务新媒体主动公开信息1.</w:t>
      </w: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lang w:val="en-US" w:eastAsia="zh-CN"/>
        </w:rPr>
        <w:t>万余条。</w:t>
      </w:r>
    </w:p>
    <w:p w14:paraId="111B2F9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w:t>
      </w:r>
      <w:r>
        <w:rPr>
          <w:rFonts w:hint="default" w:ascii="楷体_GB2312" w:hAnsi="楷体_GB2312" w:eastAsia="楷体_GB2312" w:cs="楷体_GB2312"/>
          <w:b/>
          <w:bCs/>
          <w:sz w:val="32"/>
          <w:szCs w:val="32"/>
          <w:highlight w:val="none"/>
          <w:lang w:val="en-US" w:eastAsia="zh-CN"/>
        </w:rPr>
        <w:t>依申请公开情况。</w:t>
      </w:r>
      <w:r>
        <w:rPr>
          <w:rFonts w:hint="default" w:ascii="Times New Roman" w:hAnsi="Times New Roman" w:eastAsia="仿宋_GB2312" w:cs="Times New Roman"/>
          <w:b w:val="0"/>
          <w:bCs w:val="0"/>
          <w:sz w:val="32"/>
          <w:szCs w:val="32"/>
          <w:highlight w:val="none"/>
          <w:lang w:val="en-US" w:eastAsia="zh-CN"/>
        </w:rPr>
        <w:t>严格贯彻执行《中华人民共和国政府信息公开条例》，遵循公正、公平、便民原则，充分发挥政府信息公开对人民群众生产生活和经济社会活动的服务作用，合规做好政府信息公开申请的咨询、受理、办理工作，并强化案例指导和跟踪督促。2024年全市共受理政府信息公开申请2</w:t>
      </w:r>
      <w:r>
        <w:rPr>
          <w:rFonts w:hint="eastAsia" w:ascii="Times New Roman" w:hAnsi="Times New Roman" w:eastAsia="仿宋_GB2312" w:cs="Times New Roman"/>
          <w:b w:val="0"/>
          <w:bCs w:val="0"/>
          <w:sz w:val="32"/>
          <w:szCs w:val="32"/>
          <w:highlight w:val="none"/>
          <w:lang w:val="en-US" w:eastAsia="zh-CN"/>
        </w:rPr>
        <w:t>7</w:t>
      </w:r>
      <w:r>
        <w:rPr>
          <w:rFonts w:hint="default" w:ascii="Times New Roman" w:hAnsi="Times New Roman" w:eastAsia="仿宋_GB2312" w:cs="Times New Roman"/>
          <w:b w:val="0"/>
          <w:bCs w:val="0"/>
          <w:sz w:val="32"/>
          <w:szCs w:val="32"/>
          <w:highlight w:val="none"/>
          <w:lang w:val="en-US" w:eastAsia="zh-CN"/>
        </w:rPr>
        <w:t>件，已全部按时办结，办结率100%。</w:t>
      </w:r>
    </w:p>
    <w:p w14:paraId="4229757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w:t>
      </w:r>
      <w:r>
        <w:rPr>
          <w:rFonts w:hint="default" w:ascii="楷体_GB2312" w:hAnsi="楷体_GB2312" w:eastAsia="楷体_GB2312" w:cs="楷体_GB2312"/>
          <w:b/>
          <w:bCs/>
          <w:sz w:val="32"/>
          <w:szCs w:val="32"/>
          <w:highlight w:val="none"/>
          <w:lang w:val="en-US" w:eastAsia="zh-CN"/>
        </w:rPr>
        <w:t>政府信息管理情况。</w:t>
      </w:r>
      <w:r>
        <w:rPr>
          <w:rFonts w:hint="default" w:ascii="Times New Roman" w:hAnsi="Times New Roman" w:eastAsia="仿宋_GB2312" w:cs="Times New Roman"/>
          <w:b w:val="0"/>
          <w:bCs w:val="0"/>
          <w:sz w:val="32"/>
          <w:szCs w:val="32"/>
          <w:highlight w:val="none"/>
          <w:lang w:val="en-US" w:eastAsia="zh-CN"/>
        </w:rPr>
        <w:t>认真落实信息公开属性源头认定、信息发布保密审查等工作机制</w:t>
      </w:r>
      <w:r>
        <w:rPr>
          <w:rFonts w:hint="eastAsia" w:ascii="Times New Roman" w:hAnsi="Times New Roman" w:eastAsia="仿宋_GB2312" w:cs="Times New Roman"/>
          <w:b w:val="0"/>
          <w:bCs w:val="0"/>
          <w:sz w:val="32"/>
          <w:szCs w:val="32"/>
          <w:highlight w:val="none"/>
          <w:lang w:val="en-US" w:eastAsia="zh-CN"/>
        </w:rPr>
        <w:t>，及时清理废止、失效的行政规范性文件，并</w:t>
      </w:r>
      <w:r>
        <w:rPr>
          <w:rFonts w:hint="default" w:ascii="Times New Roman" w:hAnsi="Times New Roman" w:eastAsia="仿宋_GB2312" w:cs="Times New Roman"/>
          <w:b w:val="0"/>
          <w:bCs w:val="0"/>
          <w:sz w:val="32"/>
          <w:szCs w:val="32"/>
          <w:highlight w:val="none"/>
          <w:lang w:val="en-US" w:eastAsia="zh-CN"/>
        </w:rPr>
        <w:t>严格按照佳木斯市政府要求，</w:t>
      </w:r>
      <w:r>
        <w:rPr>
          <w:rFonts w:hint="eastAsia" w:ascii="Times New Roman" w:hAnsi="Times New Roman" w:eastAsia="仿宋_GB2312" w:cs="Times New Roman"/>
          <w:b w:val="0"/>
          <w:bCs w:val="0"/>
          <w:sz w:val="32"/>
          <w:szCs w:val="32"/>
          <w:highlight w:val="none"/>
          <w:lang w:val="en-US" w:eastAsia="zh-CN"/>
        </w:rPr>
        <w:t>组织各部门制作</w:t>
      </w:r>
      <w:r>
        <w:rPr>
          <w:rFonts w:hint="default" w:ascii="Times New Roman" w:hAnsi="Times New Roman" w:eastAsia="仿宋_GB2312" w:cs="Times New Roman"/>
          <w:b w:val="0"/>
          <w:bCs w:val="0"/>
          <w:sz w:val="32"/>
          <w:szCs w:val="32"/>
          <w:highlight w:val="none"/>
          <w:lang w:val="en-US" w:eastAsia="zh-CN"/>
        </w:rPr>
        <w:t>政府信息主动公开事项目录，持续深化基层政务公开标准化规范化工作，推动</w:t>
      </w:r>
      <w:r>
        <w:rPr>
          <w:rFonts w:hint="eastAsia" w:ascii="Times New Roman" w:hAnsi="Times New Roman" w:eastAsia="仿宋_GB2312" w:cs="Times New Roman"/>
          <w:b w:val="0"/>
          <w:bCs w:val="0"/>
          <w:sz w:val="32"/>
          <w:szCs w:val="32"/>
          <w:highlight w:val="none"/>
          <w:lang w:val="en-US" w:eastAsia="zh-CN"/>
        </w:rPr>
        <w:t>39个</w:t>
      </w:r>
      <w:r>
        <w:rPr>
          <w:rFonts w:hint="default" w:ascii="Times New Roman" w:hAnsi="Times New Roman" w:eastAsia="仿宋_GB2312" w:cs="Times New Roman"/>
          <w:b w:val="0"/>
          <w:bCs w:val="0"/>
          <w:sz w:val="32"/>
          <w:szCs w:val="32"/>
          <w:highlight w:val="none"/>
          <w:lang w:val="en-US" w:eastAsia="zh-CN"/>
        </w:rPr>
        <w:t>主动公开事项标准目录与门户网站主动公开内容的融合应用。</w:t>
      </w:r>
      <w:r>
        <w:rPr>
          <w:rFonts w:hint="eastAsia" w:ascii="Times New Roman" w:hAnsi="Times New Roman" w:eastAsia="仿宋_GB2312" w:cs="Times New Roman"/>
          <w:b w:val="0"/>
          <w:bCs w:val="0"/>
          <w:sz w:val="32"/>
          <w:szCs w:val="32"/>
          <w:highlight w:val="none"/>
          <w:lang w:val="en-US" w:eastAsia="zh-CN"/>
        </w:rPr>
        <w:t>同时，坚持“属地管理、行业管理、分级负责”和“谁起草、谁负责”，“谁制作、谁负责”,“谁发布、谁负责”原则，注重源头防范、源头治理、源头处置，牢牢抓住政府信息公开工作主动权。</w:t>
      </w:r>
    </w:p>
    <w:p w14:paraId="6599F88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highlight w:val="none"/>
          <w:lang w:val="en-US" w:eastAsia="zh-CN"/>
        </w:rPr>
        <w:t>(四)平台建设方面情况。</w:t>
      </w:r>
      <w:r>
        <w:rPr>
          <w:rFonts w:hint="eastAsia" w:ascii="Times New Roman" w:hAnsi="Times New Roman" w:eastAsia="仿宋_GB2312" w:cs="Times New Roman"/>
          <w:b w:val="0"/>
          <w:bCs w:val="0"/>
          <w:sz w:val="32"/>
          <w:szCs w:val="32"/>
          <w:lang w:val="en-US" w:eastAsia="zh-CN"/>
        </w:rPr>
        <w:t>按照国务院关于全面推进政务公开和“互联网+政务服务”的要求，于2024年4月底完成同江市人民政府网站改版，实现一账号登录及页面标签规范化建设，并</w:t>
      </w:r>
      <w:r>
        <w:rPr>
          <w:rFonts w:hint="default" w:ascii="Times New Roman" w:hAnsi="Times New Roman" w:eastAsia="仿宋_GB2312" w:cs="Times New Roman"/>
          <w:b w:val="0"/>
          <w:bCs w:val="0"/>
          <w:sz w:val="32"/>
          <w:szCs w:val="32"/>
          <w:highlight w:val="none"/>
          <w:lang w:val="en-US" w:eastAsia="zh-CN"/>
        </w:rPr>
        <w:t>在政府网站搭建中导入错别字校验数据库，采购事后错敏词扫描服务，确保政府门户网站规范安全运行。</w:t>
      </w:r>
      <w:r>
        <w:rPr>
          <w:rFonts w:hint="eastAsia" w:ascii="Times New Roman" w:hAnsi="Times New Roman" w:eastAsia="仿宋_GB2312" w:cs="Times New Roman"/>
          <w:b w:val="0"/>
          <w:bCs w:val="0"/>
          <w:sz w:val="32"/>
          <w:szCs w:val="32"/>
          <w:highlight w:val="none"/>
          <w:lang w:val="en-US" w:eastAsia="zh-CN"/>
        </w:rPr>
        <w:t>同时，定期组织各部门开展政务新媒体自查整改与账号核查工作，对不符合运营规范或难以继续运营的账号进行清理整合，</w:t>
      </w:r>
      <w:r>
        <w:rPr>
          <w:rFonts w:hint="default" w:ascii="Times New Roman" w:hAnsi="Times New Roman" w:eastAsia="仿宋_GB2312" w:cs="Times New Roman"/>
          <w:b w:val="0"/>
          <w:bCs w:val="0"/>
          <w:sz w:val="32"/>
          <w:szCs w:val="32"/>
          <w:lang w:val="en-US" w:eastAsia="zh-CN"/>
        </w:rPr>
        <w:t>推进政务公开工作提质增效</w:t>
      </w:r>
      <w:r>
        <w:rPr>
          <w:rFonts w:hint="eastAsia" w:ascii="Times New Roman" w:hAnsi="Times New Roman" w:eastAsia="仿宋_GB2312" w:cs="Times New Roman"/>
          <w:b w:val="0"/>
          <w:bCs w:val="0"/>
          <w:sz w:val="32"/>
          <w:szCs w:val="32"/>
          <w:lang w:val="en-US" w:eastAsia="zh-CN"/>
        </w:rPr>
        <w:t>。</w:t>
      </w:r>
    </w:p>
    <w:p w14:paraId="1C3E126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(五)监督保障落实情况。</w:t>
      </w:r>
      <w:r>
        <w:rPr>
          <w:rFonts w:hint="eastAsia" w:ascii="Times New Roman" w:hAnsi="Times New Roman" w:eastAsia="仿宋_GB2312" w:cs="Times New Roman"/>
          <w:b w:val="0"/>
          <w:bCs w:val="0"/>
          <w:sz w:val="32"/>
          <w:szCs w:val="32"/>
          <w:highlight w:val="none"/>
          <w:lang w:val="en-US" w:eastAsia="zh-CN"/>
        </w:rPr>
        <w:t>持</w:t>
      </w:r>
      <w:r>
        <w:rPr>
          <w:rFonts w:hint="default" w:ascii="Times New Roman" w:hAnsi="Times New Roman" w:eastAsia="仿宋_GB2312" w:cs="Times New Roman"/>
          <w:b w:val="0"/>
          <w:bCs w:val="0"/>
          <w:sz w:val="32"/>
          <w:szCs w:val="32"/>
          <w:highlight w:val="none"/>
          <w:lang w:val="en-US" w:eastAsia="zh-CN"/>
        </w:rPr>
        <w:t>续发挥政务公开工作领导小组作用，将政务公开工作纳入年度绩效考核内容</w:t>
      </w:r>
      <w:r>
        <w:rPr>
          <w:rFonts w:hint="eastAsia" w:ascii="Times New Roman" w:hAnsi="Times New Roman" w:eastAsia="仿宋_GB2312" w:cs="Times New Roman"/>
          <w:b w:val="0"/>
          <w:bCs w:val="0"/>
          <w:sz w:val="32"/>
          <w:szCs w:val="32"/>
          <w:highlight w:val="none"/>
          <w:lang w:val="en-US" w:eastAsia="zh-CN"/>
        </w:rPr>
        <w:t>，并</w:t>
      </w:r>
      <w:r>
        <w:rPr>
          <w:rFonts w:hint="default" w:ascii="Times New Roman" w:hAnsi="Times New Roman" w:eastAsia="仿宋_GB2312" w:cs="Times New Roman"/>
          <w:b w:val="0"/>
          <w:bCs w:val="0"/>
          <w:sz w:val="32"/>
          <w:szCs w:val="32"/>
          <w:highlight w:val="none"/>
          <w:lang w:val="en-US" w:eastAsia="zh-CN"/>
        </w:rPr>
        <w:t>依照省</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市要求，</w:t>
      </w:r>
      <w:r>
        <w:rPr>
          <w:rFonts w:hint="eastAsia" w:ascii="Times New Roman" w:hAnsi="Times New Roman" w:eastAsia="仿宋_GB2312" w:cs="Times New Roman"/>
          <w:b w:val="0"/>
          <w:bCs w:val="0"/>
          <w:sz w:val="32"/>
          <w:szCs w:val="32"/>
          <w:highlight w:val="none"/>
          <w:lang w:val="en-US" w:eastAsia="zh-CN"/>
        </w:rPr>
        <w:t>健全</w:t>
      </w:r>
      <w:r>
        <w:rPr>
          <w:rFonts w:hint="default" w:ascii="Times New Roman" w:hAnsi="Times New Roman" w:eastAsia="仿宋_GB2312" w:cs="Times New Roman"/>
          <w:b w:val="0"/>
          <w:bCs w:val="0"/>
          <w:sz w:val="32"/>
          <w:szCs w:val="32"/>
          <w:highlight w:val="none"/>
          <w:lang w:val="en-US" w:eastAsia="zh-CN"/>
        </w:rPr>
        <w:t>考核机制，完善制度建设，强化跟踪问效，加强对政府门户网站及政务新媒体的常态化监管</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同时，以提高工作人员业务能力为抓手，全年组织开展线下政务公开业务培训</w:t>
      </w: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val="en-US" w:eastAsia="zh-CN"/>
        </w:rPr>
        <w:t>次，完成培训130余人次</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着力提升各部门政务公开工作水平</w:t>
      </w:r>
      <w:r>
        <w:rPr>
          <w:rFonts w:hint="eastAsia" w:ascii="Times New Roman" w:hAnsi="Times New Roman" w:eastAsia="仿宋_GB2312" w:cs="Times New Roman"/>
          <w:b w:val="0"/>
          <w:bCs w:val="0"/>
          <w:sz w:val="32"/>
          <w:szCs w:val="32"/>
          <w:highlight w:val="none"/>
          <w:lang w:val="en-US" w:eastAsia="zh-CN"/>
        </w:rPr>
        <w:t>。2024年未发生政务公开追责事件。</w:t>
      </w:r>
    </w:p>
    <w:p w14:paraId="6691EB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napToGrid w:val="0"/>
          <w:color w:val="000000"/>
          <w:sz w:val="28"/>
          <w:szCs w:val="32"/>
        </w:rPr>
      </w:pPr>
      <w:r>
        <w:rPr>
          <w:rFonts w:hint="default" w:ascii="Times New Roman" w:hAnsi="Times New Roman" w:eastAsia="黑体" w:cs="Times New Roman"/>
          <w:sz w:val="32"/>
          <w:szCs w:val="32"/>
          <w:lang w:val="en-US" w:eastAsia="zh-CN"/>
        </w:rPr>
        <w:t>二、主动公开政府信息情况</w:t>
      </w:r>
    </w:p>
    <w:tbl>
      <w:tblPr>
        <w:tblStyle w:val="4"/>
        <w:tblW w:w="9072" w:type="dxa"/>
        <w:jc w:val="center"/>
        <w:tblLayout w:type="fixed"/>
        <w:tblCellMar>
          <w:top w:w="28" w:type="dxa"/>
          <w:left w:w="28" w:type="dxa"/>
          <w:bottom w:w="28" w:type="dxa"/>
          <w:right w:w="28" w:type="dxa"/>
        </w:tblCellMar>
      </w:tblPr>
      <w:tblGrid>
        <w:gridCol w:w="2268"/>
        <w:gridCol w:w="2268"/>
        <w:gridCol w:w="2268"/>
        <w:gridCol w:w="2268"/>
      </w:tblGrid>
      <w:tr w14:paraId="450B2710">
        <w:tblPrEx>
          <w:tblCellMar>
            <w:top w:w="28" w:type="dxa"/>
            <w:left w:w="28" w:type="dxa"/>
            <w:bottom w:w="28" w:type="dxa"/>
            <w:right w:w="28" w:type="dxa"/>
          </w:tblCellMar>
        </w:tblPrEx>
        <w:trPr>
          <w:trHeight w:val="397" w:hRule="atLeast"/>
          <w:jc w:val="center"/>
        </w:trPr>
        <w:tc>
          <w:tcPr>
            <w:tcW w:w="9072" w:type="dxa"/>
            <w:gridSpan w:val="4"/>
            <w:tcBorders>
              <w:top w:val="single" w:color="auto" w:sz="8" w:space="0"/>
              <w:left w:val="single" w:color="auto" w:sz="8" w:space="0"/>
              <w:bottom w:val="single" w:color="auto" w:sz="8" w:space="0"/>
              <w:right w:val="single" w:color="auto" w:sz="8" w:space="0"/>
            </w:tcBorders>
            <w:shd w:val="clear" w:color="auto" w:fill="B4C6E7" w:themeFill="accent5" w:themeFillTint="66"/>
            <w:noWrap w:val="0"/>
            <w:tcMar>
              <w:top w:w="0" w:type="dxa"/>
              <w:left w:w="57" w:type="dxa"/>
              <w:bottom w:w="0" w:type="dxa"/>
              <w:right w:w="57" w:type="dxa"/>
            </w:tcMar>
            <w:vAlign w:val="center"/>
          </w:tcPr>
          <w:p w14:paraId="7108EF90">
            <w:pPr>
              <w:adjustRightInd w:val="0"/>
              <w:snapToGrid w:val="0"/>
              <w:spacing w:line="280" w:lineRule="exact"/>
              <w:jc w:val="center"/>
              <w:rPr>
                <w:rFonts w:hint="default" w:ascii="Times New Roman" w:hAnsi="Times New Roman" w:eastAsia="方正黑体_GBK" w:cs="Times New Roman"/>
                <w:color w:val="5B9BD5" w:themeColor="accent1"/>
                <w:kern w:val="0"/>
                <w:szCs w:val="21"/>
                <w14:textFill>
                  <w14:solidFill>
                    <w14:schemeClr w14:val="accent1"/>
                  </w14:solidFill>
                </w14:textFill>
              </w:rPr>
            </w:pPr>
            <w:r>
              <w:rPr>
                <w:rFonts w:hint="default" w:ascii="Times New Roman" w:hAnsi="Times New Roman" w:eastAsia="方正黑体_GBK" w:cs="Times New Roman"/>
                <w:color w:val="000000"/>
                <w:kern w:val="0"/>
                <w:szCs w:val="21"/>
              </w:rPr>
              <w:t>第二十条第（</w:t>
            </w:r>
            <w:r>
              <w:rPr>
                <w:rFonts w:hint="eastAsia" w:ascii="Times New Roman" w:hAnsi="Times New Roman" w:eastAsia="方正黑体_GBK" w:cs="Times New Roman"/>
                <w:color w:val="000000"/>
                <w:kern w:val="0"/>
                <w:szCs w:val="21"/>
                <w:lang w:val="en-US" w:eastAsia="zh-CN"/>
              </w:rPr>
              <w:t>一</w:t>
            </w:r>
            <w:r>
              <w:rPr>
                <w:rFonts w:hint="default" w:ascii="Times New Roman" w:hAnsi="Times New Roman" w:eastAsia="方正黑体_GBK" w:cs="Times New Roman"/>
                <w:color w:val="000000"/>
                <w:kern w:val="0"/>
                <w:szCs w:val="21"/>
              </w:rPr>
              <w:t>）项</w:t>
            </w:r>
          </w:p>
        </w:tc>
      </w:tr>
      <w:tr w14:paraId="68139B16">
        <w:tblPrEx>
          <w:tblCellMar>
            <w:top w:w="28" w:type="dxa"/>
            <w:left w:w="28" w:type="dxa"/>
            <w:bottom w:w="28" w:type="dxa"/>
            <w:right w:w="28"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14:paraId="5D91784B">
            <w:pPr>
              <w:adjustRightInd w:val="0"/>
              <w:snapToGrid w:val="0"/>
              <w:spacing w:line="280" w:lineRule="exact"/>
              <w:jc w:val="center"/>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信息内容</w:t>
            </w:r>
          </w:p>
        </w:tc>
        <w:tc>
          <w:tcPr>
            <w:tcW w:w="2268"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074AD704">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本年制发件数</w:t>
            </w:r>
          </w:p>
        </w:tc>
        <w:tc>
          <w:tcPr>
            <w:tcW w:w="2268"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861CF41">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本年废止件数</w:t>
            </w:r>
          </w:p>
        </w:tc>
        <w:tc>
          <w:tcPr>
            <w:tcW w:w="2268"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6E42D7D2">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现行有效件数</w:t>
            </w:r>
          </w:p>
        </w:tc>
      </w:tr>
      <w:tr w14:paraId="5C55DF7A">
        <w:tblPrEx>
          <w:tblCellMar>
            <w:top w:w="28" w:type="dxa"/>
            <w:left w:w="28" w:type="dxa"/>
            <w:bottom w:w="28" w:type="dxa"/>
            <w:right w:w="28"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14:paraId="3C48620B">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规章</w:t>
            </w:r>
          </w:p>
        </w:tc>
        <w:tc>
          <w:tcPr>
            <w:tcW w:w="2268"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144C1000">
            <w:pPr>
              <w:adjustRightInd w:val="0"/>
              <w:snapToGrid w:val="0"/>
              <w:spacing w:line="280" w:lineRule="exact"/>
              <w:jc w:val="center"/>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lang w:val="en-US" w:eastAsia="zh-CN"/>
              </w:rPr>
              <w:t>0</w:t>
            </w:r>
          </w:p>
        </w:tc>
        <w:tc>
          <w:tcPr>
            <w:tcW w:w="2268"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2DAA5FC">
            <w:pPr>
              <w:adjustRightInd w:val="0"/>
              <w:snapToGrid w:val="0"/>
              <w:spacing w:line="280" w:lineRule="exact"/>
              <w:jc w:val="center"/>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lang w:val="en-US" w:eastAsia="zh-CN"/>
              </w:rPr>
              <w:t>0</w:t>
            </w:r>
          </w:p>
        </w:tc>
        <w:tc>
          <w:tcPr>
            <w:tcW w:w="2268"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4DBF7DC9">
            <w:pPr>
              <w:adjustRightInd w:val="0"/>
              <w:snapToGrid w:val="0"/>
              <w:spacing w:line="280" w:lineRule="exact"/>
              <w:jc w:val="center"/>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lang w:val="en-US" w:eastAsia="zh-CN"/>
              </w:rPr>
              <w:t>0</w:t>
            </w:r>
          </w:p>
        </w:tc>
      </w:tr>
      <w:tr w14:paraId="5CD5073C">
        <w:tblPrEx>
          <w:tblCellMar>
            <w:top w:w="28" w:type="dxa"/>
            <w:left w:w="28" w:type="dxa"/>
            <w:bottom w:w="28" w:type="dxa"/>
            <w:right w:w="28"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14:paraId="127EE070">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行政规范性文件</w:t>
            </w:r>
          </w:p>
        </w:tc>
        <w:tc>
          <w:tcPr>
            <w:tcW w:w="2268"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691CBC47">
            <w:pPr>
              <w:adjustRightInd w:val="0"/>
              <w:snapToGrid w:val="0"/>
              <w:spacing w:line="280" w:lineRule="exact"/>
              <w:jc w:val="center"/>
              <w:rPr>
                <w:rFonts w:hint="default" w:ascii="Times New Roman" w:hAnsi="Times New Roman" w:eastAsia="方正书宋_GBK" w:cs="Times New Roman"/>
                <w:color w:val="000000"/>
                <w:kern w:val="0"/>
                <w:szCs w:val="21"/>
                <w:highlight w:val="none"/>
              </w:rPr>
            </w:pPr>
            <w:r>
              <w:rPr>
                <w:rFonts w:hint="eastAsia" w:ascii="Times New Roman" w:hAnsi="Times New Roman" w:eastAsia="方正书宋_GBK" w:cs="Times New Roman"/>
                <w:color w:val="000000"/>
                <w:kern w:val="0"/>
                <w:szCs w:val="21"/>
                <w:highlight w:val="none"/>
                <w:lang w:val="en-US" w:eastAsia="zh-CN"/>
              </w:rPr>
              <w:t>6</w:t>
            </w:r>
          </w:p>
        </w:tc>
        <w:tc>
          <w:tcPr>
            <w:tcW w:w="2268"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AC08121">
            <w:pPr>
              <w:adjustRightInd w:val="0"/>
              <w:snapToGrid w:val="0"/>
              <w:spacing w:line="280" w:lineRule="exact"/>
              <w:jc w:val="center"/>
              <w:rPr>
                <w:rFonts w:hint="default" w:ascii="Times New Roman" w:hAnsi="Times New Roman" w:eastAsia="方正书宋_GBK" w:cs="Times New Roman"/>
                <w:color w:val="000000"/>
                <w:kern w:val="0"/>
                <w:szCs w:val="21"/>
                <w:highlight w:val="none"/>
                <w:lang w:val="en-US" w:eastAsia="zh-CN"/>
              </w:rPr>
            </w:pPr>
            <w:r>
              <w:rPr>
                <w:rFonts w:hint="eastAsia" w:ascii="Times New Roman" w:hAnsi="Times New Roman" w:eastAsia="方正书宋_GBK" w:cs="Times New Roman"/>
                <w:color w:val="000000"/>
                <w:kern w:val="0"/>
                <w:szCs w:val="21"/>
                <w:highlight w:val="none"/>
                <w:lang w:val="en-US" w:eastAsia="zh-CN"/>
              </w:rPr>
              <w:t>1</w:t>
            </w:r>
          </w:p>
        </w:tc>
        <w:tc>
          <w:tcPr>
            <w:tcW w:w="2268"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5CF79027">
            <w:pPr>
              <w:adjustRightInd w:val="0"/>
              <w:snapToGrid w:val="0"/>
              <w:spacing w:line="280" w:lineRule="exact"/>
              <w:jc w:val="center"/>
              <w:rPr>
                <w:rFonts w:hint="default" w:ascii="Times New Roman" w:hAnsi="Times New Roman" w:eastAsia="方正书宋_GBK" w:cs="Times New Roman"/>
                <w:color w:val="000000"/>
                <w:kern w:val="0"/>
                <w:szCs w:val="21"/>
                <w:highlight w:val="none"/>
                <w:lang w:val="en-US" w:eastAsia="zh-CN"/>
              </w:rPr>
            </w:pPr>
            <w:r>
              <w:rPr>
                <w:rFonts w:hint="eastAsia" w:ascii="Times New Roman" w:hAnsi="Times New Roman" w:eastAsia="方正书宋_GBK" w:cs="Times New Roman"/>
                <w:color w:val="000000"/>
                <w:kern w:val="0"/>
                <w:szCs w:val="21"/>
                <w:highlight w:val="none"/>
                <w:lang w:val="en-US" w:eastAsia="zh-CN"/>
              </w:rPr>
              <w:t>57</w:t>
            </w:r>
          </w:p>
        </w:tc>
      </w:tr>
      <w:tr w14:paraId="210A583E">
        <w:tblPrEx>
          <w:tblCellMar>
            <w:top w:w="28" w:type="dxa"/>
            <w:left w:w="28" w:type="dxa"/>
            <w:bottom w:w="28" w:type="dxa"/>
            <w:right w:w="28" w:type="dxa"/>
          </w:tblCellMar>
        </w:tblPrEx>
        <w:trPr>
          <w:trHeight w:val="397" w:hRule="atLeast"/>
          <w:jc w:val="center"/>
        </w:trPr>
        <w:tc>
          <w:tcPr>
            <w:tcW w:w="9072" w:type="dxa"/>
            <w:gridSpan w:val="4"/>
            <w:tcBorders>
              <w:top w:val="nil"/>
              <w:left w:val="single" w:color="auto" w:sz="8" w:space="0"/>
              <w:bottom w:val="single" w:color="auto" w:sz="8" w:space="0"/>
              <w:right w:val="single" w:color="auto" w:sz="8" w:space="0"/>
            </w:tcBorders>
            <w:shd w:val="clear" w:color="auto" w:fill="B4C6E7" w:themeFill="accent5" w:themeFillTint="66"/>
            <w:noWrap w:val="0"/>
            <w:tcMar>
              <w:top w:w="0" w:type="dxa"/>
              <w:left w:w="57" w:type="dxa"/>
              <w:bottom w:w="0" w:type="dxa"/>
              <w:right w:w="57" w:type="dxa"/>
            </w:tcMar>
            <w:vAlign w:val="center"/>
          </w:tcPr>
          <w:p w14:paraId="3483865B">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第二十条第（五）项</w:t>
            </w:r>
          </w:p>
        </w:tc>
      </w:tr>
      <w:tr w14:paraId="190915F1">
        <w:tblPrEx>
          <w:tblCellMar>
            <w:top w:w="28" w:type="dxa"/>
            <w:left w:w="28" w:type="dxa"/>
            <w:bottom w:w="28" w:type="dxa"/>
            <w:right w:w="28"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14:paraId="6E28151D">
            <w:pPr>
              <w:adjustRightInd w:val="0"/>
              <w:snapToGrid w:val="0"/>
              <w:spacing w:line="280" w:lineRule="exact"/>
              <w:jc w:val="center"/>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信息内容</w:t>
            </w:r>
          </w:p>
        </w:tc>
        <w:tc>
          <w:tcPr>
            <w:tcW w:w="6804" w:type="dxa"/>
            <w:gridSpan w:val="3"/>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33223CE">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本年处理决定数量</w:t>
            </w:r>
          </w:p>
        </w:tc>
      </w:tr>
      <w:tr w14:paraId="58CEF162">
        <w:tblPrEx>
          <w:tblCellMar>
            <w:top w:w="28" w:type="dxa"/>
            <w:left w:w="28" w:type="dxa"/>
            <w:bottom w:w="28" w:type="dxa"/>
            <w:right w:w="28"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14:paraId="622B684C">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行政许可</w:t>
            </w:r>
          </w:p>
        </w:tc>
        <w:tc>
          <w:tcPr>
            <w:tcW w:w="6804" w:type="dxa"/>
            <w:gridSpan w:val="3"/>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68040D0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1989</w:t>
            </w:r>
          </w:p>
        </w:tc>
      </w:tr>
      <w:tr w14:paraId="07E1D334">
        <w:tblPrEx>
          <w:tblCellMar>
            <w:top w:w="28" w:type="dxa"/>
            <w:left w:w="28" w:type="dxa"/>
            <w:bottom w:w="28" w:type="dxa"/>
            <w:right w:w="28" w:type="dxa"/>
          </w:tblCellMar>
        </w:tblPrEx>
        <w:trPr>
          <w:trHeight w:val="397" w:hRule="atLeast"/>
          <w:jc w:val="center"/>
        </w:trPr>
        <w:tc>
          <w:tcPr>
            <w:tcW w:w="9072" w:type="dxa"/>
            <w:gridSpan w:val="4"/>
            <w:tcBorders>
              <w:top w:val="nil"/>
              <w:left w:val="single" w:color="auto" w:sz="8" w:space="0"/>
              <w:bottom w:val="single" w:color="auto" w:sz="8" w:space="0"/>
              <w:right w:val="single" w:color="auto" w:sz="8" w:space="0"/>
            </w:tcBorders>
            <w:shd w:val="clear" w:color="auto" w:fill="B4C6E7" w:themeFill="accent5" w:themeFillTint="66"/>
            <w:noWrap w:val="0"/>
            <w:tcMar>
              <w:top w:w="0" w:type="dxa"/>
              <w:left w:w="57" w:type="dxa"/>
              <w:bottom w:w="0" w:type="dxa"/>
              <w:right w:w="57" w:type="dxa"/>
            </w:tcMar>
            <w:vAlign w:val="center"/>
          </w:tcPr>
          <w:p w14:paraId="5E746160">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第二十条第（六）项</w:t>
            </w:r>
          </w:p>
        </w:tc>
      </w:tr>
      <w:tr w14:paraId="59246A21">
        <w:tblPrEx>
          <w:tblCellMar>
            <w:top w:w="28" w:type="dxa"/>
            <w:left w:w="28" w:type="dxa"/>
            <w:bottom w:w="28" w:type="dxa"/>
            <w:right w:w="28"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14:paraId="6571654E">
            <w:pPr>
              <w:adjustRightInd w:val="0"/>
              <w:snapToGrid w:val="0"/>
              <w:spacing w:line="280" w:lineRule="exact"/>
              <w:jc w:val="center"/>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信息内容</w:t>
            </w:r>
          </w:p>
        </w:tc>
        <w:tc>
          <w:tcPr>
            <w:tcW w:w="6804" w:type="dxa"/>
            <w:gridSpan w:val="3"/>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308E9780">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本年处理决定数量</w:t>
            </w:r>
          </w:p>
        </w:tc>
      </w:tr>
      <w:tr w14:paraId="217E0861">
        <w:tblPrEx>
          <w:tblCellMar>
            <w:top w:w="28" w:type="dxa"/>
            <w:left w:w="28" w:type="dxa"/>
            <w:bottom w:w="28" w:type="dxa"/>
            <w:right w:w="28"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14:paraId="7C5CCD5A">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行政处罚</w:t>
            </w:r>
          </w:p>
        </w:tc>
        <w:tc>
          <w:tcPr>
            <w:tcW w:w="6804" w:type="dxa"/>
            <w:gridSpan w:val="3"/>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7557E8E1">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347</w:t>
            </w:r>
          </w:p>
        </w:tc>
      </w:tr>
      <w:tr w14:paraId="0F6FEDBC">
        <w:tblPrEx>
          <w:tblCellMar>
            <w:top w:w="28" w:type="dxa"/>
            <w:left w:w="28" w:type="dxa"/>
            <w:bottom w:w="28" w:type="dxa"/>
            <w:right w:w="28"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14:paraId="51A58BA3">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行政强制</w:t>
            </w:r>
          </w:p>
        </w:tc>
        <w:tc>
          <w:tcPr>
            <w:tcW w:w="6804" w:type="dxa"/>
            <w:gridSpan w:val="3"/>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14:paraId="26EF610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r>
      <w:tr w14:paraId="7E2163CE">
        <w:tblPrEx>
          <w:tblCellMar>
            <w:top w:w="28" w:type="dxa"/>
            <w:left w:w="28" w:type="dxa"/>
            <w:bottom w:w="28" w:type="dxa"/>
            <w:right w:w="28" w:type="dxa"/>
          </w:tblCellMar>
        </w:tblPrEx>
        <w:trPr>
          <w:trHeight w:val="397" w:hRule="atLeast"/>
          <w:jc w:val="center"/>
        </w:trPr>
        <w:tc>
          <w:tcPr>
            <w:tcW w:w="9072" w:type="dxa"/>
            <w:gridSpan w:val="4"/>
            <w:tcBorders>
              <w:top w:val="nil"/>
              <w:left w:val="single" w:color="auto" w:sz="8" w:space="0"/>
              <w:bottom w:val="single" w:color="auto" w:sz="8" w:space="0"/>
              <w:right w:val="single" w:color="auto" w:sz="8" w:space="0"/>
            </w:tcBorders>
            <w:shd w:val="clear" w:color="auto" w:fill="B4C6E7" w:themeFill="accent5" w:themeFillTint="66"/>
            <w:noWrap w:val="0"/>
            <w:tcMar>
              <w:top w:w="0" w:type="dxa"/>
              <w:left w:w="57" w:type="dxa"/>
              <w:bottom w:w="0" w:type="dxa"/>
              <w:right w:w="57" w:type="dxa"/>
            </w:tcMar>
            <w:vAlign w:val="center"/>
          </w:tcPr>
          <w:p w14:paraId="25F8DC9B">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第二十条第（八）项</w:t>
            </w:r>
          </w:p>
        </w:tc>
      </w:tr>
      <w:tr w14:paraId="0AD2120A">
        <w:tblPrEx>
          <w:tblCellMar>
            <w:top w:w="28" w:type="dxa"/>
            <w:left w:w="28" w:type="dxa"/>
            <w:bottom w:w="28" w:type="dxa"/>
            <w:right w:w="28"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14:paraId="30D54D23">
            <w:pPr>
              <w:adjustRightInd w:val="0"/>
              <w:snapToGrid w:val="0"/>
              <w:spacing w:line="280" w:lineRule="exact"/>
              <w:jc w:val="center"/>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信息内容</w:t>
            </w:r>
          </w:p>
        </w:tc>
        <w:tc>
          <w:tcPr>
            <w:tcW w:w="6804" w:type="dxa"/>
            <w:gridSpan w:val="3"/>
            <w:tcBorders>
              <w:top w:val="nil"/>
              <w:left w:val="nil"/>
              <w:bottom w:val="single" w:color="auto" w:sz="8" w:space="0"/>
              <w:right w:val="single" w:color="000000" w:sz="8" w:space="0"/>
            </w:tcBorders>
            <w:shd w:val="clear" w:color="auto" w:fill="auto"/>
            <w:noWrap w:val="0"/>
            <w:tcMar>
              <w:top w:w="0" w:type="dxa"/>
              <w:left w:w="57" w:type="dxa"/>
              <w:bottom w:w="0" w:type="dxa"/>
              <w:right w:w="57" w:type="dxa"/>
            </w:tcMar>
            <w:vAlign w:val="center"/>
          </w:tcPr>
          <w:p w14:paraId="69C1F9F4">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本年收费金额（单位：万元）</w:t>
            </w:r>
          </w:p>
        </w:tc>
      </w:tr>
      <w:tr w14:paraId="524D12A7">
        <w:tblPrEx>
          <w:tblCellMar>
            <w:top w:w="28" w:type="dxa"/>
            <w:left w:w="28" w:type="dxa"/>
            <w:bottom w:w="28" w:type="dxa"/>
            <w:right w:w="28"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14:paraId="30C200AD">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行政事业性收费</w:t>
            </w:r>
          </w:p>
        </w:tc>
        <w:tc>
          <w:tcPr>
            <w:tcW w:w="6804" w:type="dxa"/>
            <w:gridSpan w:val="3"/>
            <w:tcBorders>
              <w:top w:val="nil"/>
              <w:left w:val="nil"/>
              <w:bottom w:val="single" w:color="auto" w:sz="8" w:space="0"/>
              <w:right w:val="single" w:color="000000" w:sz="8" w:space="0"/>
            </w:tcBorders>
            <w:shd w:val="clear" w:color="auto" w:fill="auto"/>
            <w:noWrap w:val="0"/>
            <w:tcMar>
              <w:top w:w="0" w:type="dxa"/>
              <w:left w:w="57" w:type="dxa"/>
              <w:bottom w:w="0" w:type="dxa"/>
              <w:right w:w="57" w:type="dxa"/>
            </w:tcMar>
            <w:vAlign w:val="center"/>
          </w:tcPr>
          <w:p w14:paraId="6EB713E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Times New Roman" w:hAnsi="Times New Roman" w:eastAsia="方正书宋_GBK" w:cs="Times New Roman"/>
                <w:color w:val="000000"/>
                <w:kern w:val="0"/>
                <w:szCs w:val="21"/>
                <w:lang w:val="en-US" w:eastAsia="zh-CN"/>
              </w:rPr>
              <w:t>16671.4808</w:t>
            </w:r>
          </w:p>
        </w:tc>
      </w:tr>
    </w:tbl>
    <w:p w14:paraId="141D4432">
      <w:pPr>
        <w:adjustRightInd w:val="0"/>
        <w:snapToGrid w:val="0"/>
        <w:spacing w:line="460" w:lineRule="exact"/>
        <w:ind w:firstLine="640" w:firstLineChars="200"/>
        <w:rPr>
          <w:rFonts w:hint="default" w:ascii="Times New Roman" w:hAnsi="Times New Roman" w:eastAsia="黑体" w:cs="Times New Roman"/>
          <w:snapToGrid w:val="0"/>
          <w:color w:val="000000"/>
          <w:sz w:val="32"/>
          <w:szCs w:val="32"/>
        </w:rPr>
      </w:pPr>
      <w:r>
        <w:rPr>
          <w:rFonts w:hint="default" w:ascii="Times New Roman" w:hAnsi="Times New Roman" w:eastAsia="黑体" w:cs="Times New Roman"/>
          <w:snapToGrid w:val="0"/>
          <w:color w:val="000000"/>
          <w:sz w:val="32"/>
          <w:szCs w:val="32"/>
        </w:rPr>
        <w:t>三、收到和处理政府信息公开申请情况</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69"/>
        <w:gridCol w:w="1106"/>
        <w:gridCol w:w="2744"/>
        <w:gridCol w:w="623"/>
        <w:gridCol w:w="663"/>
        <w:gridCol w:w="650"/>
        <w:gridCol w:w="650"/>
        <w:gridCol w:w="625"/>
        <w:gridCol w:w="625"/>
        <w:gridCol w:w="517"/>
      </w:tblGrid>
      <w:tr w14:paraId="4A77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4719" w:type="dxa"/>
            <w:gridSpan w:val="3"/>
            <w:vMerge w:val="restart"/>
            <w:noWrap w:val="0"/>
            <w:tcMar>
              <w:top w:w="0" w:type="dxa"/>
              <w:left w:w="108" w:type="dxa"/>
              <w:bottom w:w="0" w:type="dxa"/>
              <w:right w:w="108" w:type="dxa"/>
            </w:tcMar>
            <w:vAlign w:val="center"/>
          </w:tcPr>
          <w:p w14:paraId="293594E8">
            <w:pPr>
              <w:adjustRightInd w:val="0"/>
              <w:snapToGrid w:val="0"/>
              <w:spacing w:line="280" w:lineRule="exact"/>
              <w:jc w:val="left"/>
              <w:rPr>
                <w:rFonts w:hint="default" w:ascii="Times New Roman" w:hAnsi="Times New Roman" w:eastAsia="方正黑体_GBK" w:cs="Times New Roman"/>
                <w:color w:val="000000"/>
                <w:kern w:val="0"/>
                <w:szCs w:val="21"/>
              </w:rPr>
            </w:pPr>
            <w:r>
              <w:rPr>
                <w:rFonts w:hint="default" w:ascii="Times New Roman" w:hAnsi="Times New Roman" w:eastAsia="仿宋" w:cs="Times New Roman"/>
                <w:color w:val="000000"/>
                <w:kern w:val="0"/>
                <w:szCs w:val="21"/>
              </w:rPr>
              <w:t>（本列数据的勾稽关系为：第一项加第二项之和，等于第三项加第四项之和）</w:t>
            </w:r>
          </w:p>
        </w:tc>
        <w:tc>
          <w:tcPr>
            <w:tcW w:w="4353" w:type="dxa"/>
            <w:gridSpan w:val="7"/>
            <w:noWrap w:val="0"/>
            <w:tcMar>
              <w:top w:w="0" w:type="dxa"/>
              <w:left w:w="57" w:type="dxa"/>
              <w:bottom w:w="0" w:type="dxa"/>
              <w:right w:w="57" w:type="dxa"/>
            </w:tcMar>
            <w:vAlign w:val="center"/>
          </w:tcPr>
          <w:p w14:paraId="471D7582">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申请人情况</w:t>
            </w:r>
          </w:p>
        </w:tc>
      </w:tr>
      <w:tr w14:paraId="4F76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blHeader/>
          <w:jc w:val="center"/>
        </w:trPr>
        <w:tc>
          <w:tcPr>
            <w:tcW w:w="4719" w:type="dxa"/>
            <w:gridSpan w:val="3"/>
            <w:vMerge w:val="continue"/>
            <w:noWrap w:val="0"/>
            <w:vAlign w:val="center"/>
          </w:tcPr>
          <w:p w14:paraId="37C912E9">
            <w:pPr>
              <w:adjustRightInd w:val="0"/>
              <w:snapToGrid w:val="0"/>
              <w:spacing w:line="280" w:lineRule="exact"/>
              <w:jc w:val="center"/>
              <w:rPr>
                <w:rFonts w:hint="default" w:ascii="Times New Roman" w:hAnsi="Times New Roman" w:eastAsia="方正黑体_GBK" w:cs="Times New Roman"/>
                <w:color w:val="000000"/>
                <w:kern w:val="0"/>
                <w:szCs w:val="21"/>
              </w:rPr>
            </w:pPr>
          </w:p>
        </w:tc>
        <w:tc>
          <w:tcPr>
            <w:tcW w:w="623" w:type="dxa"/>
            <w:vMerge w:val="restart"/>
            <w:noWrap w:val="0"/>
            <w:tcMar>
              <w:top w:w="0" w:type="dxa"/>
              <w:left w:w="57" w:type="dxa"/>
              <w:bottom w:w="0" w:type="dxa"/>
              <w:right w:w="57" w:type="dxa"/>
            </w:tcMar>
            <w:vAlign w:val="center"/>
          </w:tcPr>
          <w:p w14:paraId="558C418D">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自然人</w:t>
            </w:r>
          </w:p>
        </w:tc>
        <w:tc>
          <w:tcPr>
            <w:tcW w:w="3213" w:type="dxa"/>
            <w:gridSpan w:val="5"/>
            <w:noWrap w:val="0"/>
            <w:tcMar>
              <w:top w:w="0" w:type="dxa"/>
              <w:left w:w="57" w:type="dxa"/>
              <w:bottom w:w="0" w:type="dxa"/>
              <w:right w:w="57" w:type="dxa"/>
            </w:tcMar>
            <w:vAlign w:val="center"/>
          </w:tcPr>
          <w:p w14:paraId="42EFA885">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法人或其他组织</w:t>
            </w:r>
          </w:p>
        </w:tc>
        <w:tc>
          <w:tcPr>
            <w:tcW w:w="517" w:type="dxa"/>
            <w:vMerge w:val="restart"/>
            <w:noWrap w:val="0"/>
            <w:tcMar>
              <w:top w:w="0" w:type="dxa"/>
              <w:left w:w="57" w:type="dxa"/>
              <w:bottom w:w="0" w:type="dxa"/>
              <w:right w:w="57" w:type="dxa"/>
            </w:tcMar>
            <w:vAlign w:val="center"/>
          </w:tcPr>
          <w:p w14:paraId="50958DD0">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总计</w:t>
            </w:r>
          </w:p>
        </w:tc>
      </w:tr>
      <w:tr w14:paraId="0E07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4719" w:type="dxa"/>
            <w:gridSpan w:val="3"/>
            <w:vMerge w:val="continue"/>
            <w:noWrap w:val="0"/>
            <w:vAlign w:val="center"/>
          </w:tcPr>
          <w:p w14:paraId="19EDC205">
            <w:pPr>
              <w:adjustRightInd w:val="0"/>
              <w:snapToGrid w:val="0"/>
              <w:spacing w:line="280" w:lineRule="exact"/>
              <w:jc w:val="center"/>
              <w:rPr>
                <w:rFonts w:hint="default" w:ascii="Times New Roman" w:hAnsi="Times New Roman" w:eastAsia="方正黑体_GBK" w:cs="Times New Roman"/>
                <w:color w:val="000000"/>
                <w:kern w:val="0"/>
                <w:szCs w:val="21"/>
              </w:rPr>
            </w:pPr>
          </w:p>
        </w:tc>
        <w:tc>
          <w:tcPr>
            <w:tcW w:w="623" w:type="dxa"/>
            <w:vMerge w:val="continue"/>
            <w:noWrap w:val="0"/>
            <w:vAlign w:val="center"/>
          </w:tcPr>
          <w:p w14:paraId="57156911">
            <w:pPr>
              <w:adjustRightInd w:val="0"/>
              <w:snapToGrid w:val="0"/>
              <w:spacing w:line="280" w:lineRule="exact"/>
              <w:jc w:val="center"/>
              <w:rPr>
                <w:rFonts w:hint="default" w:ascii="Times New Roman" w:hAnsi="Times New Roman" w:eastAsia="方正黑体_GBK" w:cs="Times New Roman"/>
                <w:color w:val="000000"/>
                <w:kern w:val="0"/>
                <w:szCs w:val="21"/>
              </w:rPr>
            </w:pPr>
          </w:p>
        </w:tc>
        <w:tc>
          <w:tcPr>
            <w:tcW w:w="663" w:type="dxa"/>
            <w:noWrap w:val="0"/>
            <w:tcMar>
              <w:top w:w="0" w:type="dxa"/>
              <w:left w:w="57" w:type="dxa"/>
              <w:bottom w:w="0" w:type="dxa"/>
              <w:right w:w="57" w:type="dxa"/>
            </w:tcMar>
            <w:vAlign w:val="center"/>
          </w:tcPr>
          <w:p w14:paraId="767D6D2A">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商业</w:t>
            </w:r>
          </w:p>
          <w:p w14:paraId="41D26171">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企业</w:t>
            </w:r>
          </w:p>
        </w:tc>
        <w:tc>
          <w:tcPr>
            <w:tcW w:w="650" w:type="dxa"/>
            <w:noWrap w:val="0"/>
            <w:tcMar>
              <w:top w:w="0" w:type="dxa"/>
              <w:left w:w="57" w:type="dxa"/>
              <w:bottom w:w="0" w:type="dxa"/>
              <w:right w:w="57" w:type="dxa"/>
            </w:tcMar>
            <w:vAlign w:val="center"/>
          </w:tcPr>
          <w:p w14:paraId="0065A9FF">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科研</w:t>
            </w:r>
          </w:p>
          <w:p w14:paraId="67B08E7A">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机构</w:t>
            </w:r>
          </w:p>
        </w:tc>
        <w:tc>
          <w:tcPr>
            <w:tcW w:w="650" w:type="dxa"/>
            <w:noWrap w:val="0"/>
            <w:tcMar>
              <w:top w:w="0" w:type="dxa"/>
              <w:left w:w="57" w:type="dxa"/>
              <w:bottom w:w="0" w:type="dxa"/>
              <w:right w:w="57" w:type="dxa"/>
            </w:tcMar>
            <w:vAlign w:val="center"/>
          </w:tcPr>
          <w:p w14:paraId="1EC948D4">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社会公益组织</w:t>
            </w:r>
          </w:p>
        </w:tc>
        <w:tc>
          <w:tcPr>
            <w:tcW w:w="625" w:type="dxa"/>
            <w:noWrap w:val="0"/>
            <w:tcMar>
              <w:top w:w="0" w:type="dxa"/>
              <w:left w:w="57" w:type="dxa"/>
              <w:bottom w:w="0" w:type="dxa"/>
              <w:right w:w="57" w:type="dxa"/>
            </w:tcMar>
            <w:vAlign w:val="center"/>
          </w:tcPr>
          <w:p w14:paraId="70520487">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法律服务机构</w:t>
            </w:r>
          </w:p>
        </w:tc>
        <w:tc>
          <w:tcPr>
            <w:tcW w:w="625" w:type="dxa"/>
            <w:noWrap w:val="0"/>
            <w:tcMar>
              <w:top w:w="0" w:type="dxa"/>
              <w:left w:w="57" w:type="dxa"/>
              <w:bottom w:w="0" w:type="dxa"/>
              <w:right w:w="57" w:type="dxa"/>
            </w:tcMar>
            <w:vAlign w:val="center"/>
          </w:tcPr>
          <w:p w14:paraId="05D1F23D">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其他</w:t>
            </w:r>
          </w:p>
        </w:tc>
        <w:tc>
          <w:tcPr>
            <w:tcW w:w="517" w:type="dxa"/>
            <w:vMerge w:val="continue"/>
            <w:noWrap w:val="0"/>
            <w:vAlign w:val="center"/>
          </w:tcPr>
          <w:p w14:paraId="02E19B04">
            <w:pPr>
              <w:adjustRightInd w:val="0"/>
              <w:snapToGrid w:val="0"/>
              <w:spacing w:line="280" w:lineRule="exact"/>
              <w:jc w:val="center"/>
              <w:rPr>
                <w:rFonts w:hint="default" w:ascii="Times New Roman" w:hAnsi="Times New Roman" w:eastAsia="方正黑体_GBK" w:cs="Times New Roman"/>
                <w:color w:val="000000"/>
                <w:kern w:val="0"/>
                <w:szCs w:val="21"/>
              </w:rPr>
            </w:pPr>
          </w:p>
        </w:tc>
      </w:tr>
      <w:tr w14:paraId="1D0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719" w:type="dxa"/>
            <w:gridSpan w:val="3"/>
            <w:noWrap w:val="0"/>
            <w:vAlign w:val="center"/>
          </w:tcPr>
          <w:p w14:paraId="654B66F4">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一、本年新收政府信息公开申请数量</w:t>
            </w:r>
          </w:p>
        </w:tc>
        <w:tc>
          <w:tcPr>
            <w:tcW w:w="623" w:type="dxa"/>
            <w:noWrap w:val="0"/>
            <w:tcMar>
              <w:top w:w="0" w:type="dxa"/>
              <w:left w:w="57" w:type="dxa"/>
              <w:bottom w:w="0" w:type="dxa"/>
              <w:right w:w="57" w:type="dxa"/>
            </w:tcMar>
            <w:vAlign w:val="center"/>
          </w:tcPr>
          <w:p w14:paraId="37E5899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27</w:t>
            </w:r>
          </w:p>
        </w:tc>
        <w:tc>
          <w:tcPr>
            <w:tcW w:w="663" w:type="dxa"/>
            <w:noWrap w:val="0"/>
            <w:tcMar>
              <w:top w:w="0" w:type="dxa"/>
              <w:left w:w="57" w:type="dxa"/>
              <w:bottom w:w="0" w:type="dxa"/>
              <w:right w:w="57" w:type="dxa"/>
            </w:tcMar>
            <w:vAlign w:val="center"/>
          </w:tcPr>
          <w:p w14:paraId="5E468CEF">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25DADBE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619CDF68">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7C975F4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34A8B6E4">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27DF09C7">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27</w:t>
            </w:r>
          </w:p>
        </w:tc>
      </w:tr>
      <w:tr w14:paraId="754B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719" w:type="dxa"/>
            <w:gridSpan w:val="3"/>
            <w:noWrap w:val="0"/>
            <w:vAlign w:val="center"/>
          </w:tcPr>
          <w:p w14:paraId="7CC44F15">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二、上年结转政府信息公开申请数量</w:t>
            </w:r>
          </w:p>
        </w:tc>
        <w:tc>
          <w:tcPr>
            <w:tcW w:w="623" w:type="dxa"/>
            <w:noWrap w:val="0"/>
            <w:tcMar>
              <w:top w:w="0" w:type="dxa"/>
              <w:left w:w="57" w:type="dxa"/>
              <w:bottom w:w="0" w:type="dxa"/>
              <w:right w:w="57" w:type="dxa"/>
            </w:tcMar>
            <w:vAlign w:val="center"/>
          </w:tcPr>
          <w:p w14:paraId="1C2435B7">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60421E80">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3DA7269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34814548">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5CA062B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6B5FD819">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69EBAF06">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r>
      <w:tr w14:paraId="64E2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869" w:type="dxa"/>
            <w:vMerge w:val="restart"/>
            <w:shd w:val="clear" w:color="auto" w:fill="auto"/>
            <w:noWrap w:val="0"/>
            <w:vAlign w:val="center"/>
          </w:tcPr>
          <w:p w14:paraId="76CFDEF0">
            <w:pPr>
              <w:adjustRightInd w:val="0"/>
              <w:snapToGrid w:val="0"/>
              <w:spacing w:line="280" w:lineRule="exact"/>
              <w:jc w:val="center"/>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三、本年度办理结果</w:t>
            </w:r>
          </w:p>
        </w:tc>
        <w:tc>
          <w:tcPr>
            <w:tcW w:w="3850" w:type="dxa"/>
            <w:gridSpan w:val="2"/>
            <w:noWrap w:val="0"/>
            <w:vAlign w:val="center"/>
          </w:tcPr>
          <w:p w14:paraId="7069618B">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（一）予以公开</w:t>
            </w:r>
          </w:p>
        </w:tc>
        <w:tc>
          <w:tcPr>
            <w:tcW w:w="623" w:type="dxa"/>
            <w:noWrap w:val="0"/>
            <w:tcMar>
              <w:top w:w="0" w:type="dxa"/>
              <w:left w:w="57" w:type="dxa"/>
              <w:bottom w:w="0" w:type="dxa"/>
              <w:right w:w="57" w:type="dxa"/>
            </w:tcMar>
            <w:vAlign w:val="center"/>
          </w:tcPr>
          <w:p w14:paraId="2D34E4BF">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15</w:t>
            </w:r>
          </w:p>
        </w:tc>
        <w:tc>
          <w:tcPr>
            <w:tcW w:w="663" w:type="dxa"/>
            <w:noWrap w:val="0"/>
            <w:tcMar>
              <w:top w:w="0" w:type="dxa"/>
              <w:left w:w="57" w:type="dxa"/>
              <w:bottom w:w="0" w:type="dxa"/>
              <w:right w:w="57" w:type="dxa"/>
            </w:tcMar>
            <w:vAlign w:val="center"/>
          </w:tcPr>
          <w:p w14:paraId="7BAD0280">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0ADEBEB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0ABB6C8F">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06EA1D21">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0C0C07F8">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6FB81140">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15</w:t>
            </w:r>
          </w:p>
        </w:tc>
      </w:tr>
      <w:tr w14:paraId="18F8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869" w:type="dxa"/>
            <w:vMerge w:val="continue"/>
            <w:shd w:val="clear" w:color="auto" w:fill="auto"/>
            <w:noWrap w:val="0"/>
            <w:vAlign w:val="center"/>
          </w:tcPr>
          <w:p w14:paraId="0BDC1463">
            <w:pPr>
              <w:adjustRightInd w:val="0"/>
              <w:snapToGrid w:val="0"/>
              <w:spacing w:line="280" w:lineRule="exact"/>
              <w:rPr>
                <w:rFonts w:hint="default" w:ascii="Times New Roman" w:hAnsi="Times New Roman" w:eastAsia="方正书宋_GBK" w:cs="Times New Roman"/>
                <w:color w:val="000000"/>
                <w:kern w:val="0"/>
                <w:szCs w:val="21"/>
              </w:rPr>
            </w:pPr>
          </w:p>
        </w:tc>
        <w:tc>
          <w:tcPr>
            <w:tcW w:w="3850" w:type="dxa"/>
            <w:gridSpan w:val="2"/>
            <w:noWrap w:val="0"/>
            <w:vAlign w:val="center"/>
          </w:tcPr>
          <w:p w14:paraId="59DC4811">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（二）部分公开</w:t>
            </w:r>
            <w:r>
              <w:rPr>
                <w:rFonts w:hint="default" w:ascii="Times New Roman" w:hAnsi="Times New Roman" w:eastAsia="仿宋" w:cs="Times New Roman"/>
                <w:color w:val="000000"/>
                <w:kern w:val="0"/>
                <w:szCs w:val="21"/>
              </w:rPr>
              <w:t>（区分处理的，只计这一情形，不计其他情形）</w:t>
            </w:r>
          </w:p>
        </w:tc>
        <w:tc>
          <w:tcPr>
            <w:tcW w:w="623" w:type="dxa"/>
            <w:noWrap w:val="0"/>
            <w:tcMar>
              <w:top w:w="0" w:type="dxa"/>
              <w:left w:w="57" w:type="dxa"/>
              <w:bottom w:w="0" w:type="dxa"/>
              <w:right w:w="57" w:type="dxa"/>
            </w:tcMar>
            <w:vAlign w:val="center"/>
          </w:tcPr>
          <w:p w14:paraId="47340D70">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4</w:t>
            </w:r>
          </w:p>
        </w:tc>
        <w:tc>
          <w:tcPr>
            <w:tcW w:w="663" w:type="dxa"/>
            <w:noWrap w:val="0"/>
            <w:tcMar>
              <w:top w:w="0" w:type="dxa"/>
              <w:left w:w="57" w:type="dxa"/>
              <w:bottom w:w="0" w:type="dxa"/>
              <w:right w:w="57" w:type="dxa"/>
            </w:tcMar>
            <w:vAlign w:val="center"/>
          </w:tcPr>
          <w:p w14:paraId="112E1C7C">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685328F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715DC8A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20493086">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4AFD2B9F">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1B05F447">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4</w:t>
            </w:r>
          </w:p>
        </w:tc>
      </w:tr>
      <w:tr w14:paraId="4F22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restart"/>
            <w:shd w:val="clear" w:color="auto" w:fill="auto"/>
            <w:noWrap w:val="0"/>
            <w:vAlign w:val="center"/>
          </w:tcPr>
          <w:p w14:paraId="53C1BFBA">
            <w:pPr>
              <w:adjustRightInd w:val="0"/>
              <w:snapToGrid w:val="0"/>
              <w:spacing w:line="280" w:lineRule="exact"/>
              <w:jc w:val="center"/>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三、本年度办理结果</w:t>
            </w:r>
          </w:p>
        </w:tc>
        <w:tc>
          <w:tcPr>
            <w:tcW w:w="1106" w:type="dxa"/>
            <w:vMerge w:val="restart"/>
            <w:noWrap w:val="0"/>
            <w:tcMar>
              <w:top w:w="0" w:type="dxa"/>
              <w:left w:w="57" w:type="dxa"/>
              <w:bottom w:w="0" w:type="dxa"/>
              <w:right w:w="57" w:type="dxa"/>
            </w:tcMar>
            <w:vAlign w:val="center"/>
          </w:tcPr>
          <w:p w14:paraId="7CAC5369">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（三）不予公开</w:t>
            </w:r>
          </w:p>
        </w:tc>
        <w:tc>
          <w:tcPr>
            <w:tcW w:w="2744" w:type="dxa"/>
            <w:noWrap w:val="0"/>
            <w:tcMar>
              <w:top w:w="0" w:type="dxa"/>
              <w:left w:w="57" w:type="dxa"/>
              <w:bottom w:w="0" w:type="dxa"/>
              <w:right w:w="57" w:type="dxa"/>
            </w:tcMar>
            <w:vAlign w:val="center"/>
          </w:tcPr>
          <w:p w14:paraId="6B6EB99C">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1.属于国家秘密</w:t>
            </w:r>
          </w:p>
        </w:tc>
        <w:tc>
          <w:tcPr>
            <w:tcW w:w="623" w:type="dxa"/>
            <w:noWrap w:val="0"/>
            <w:tcMar>
              <w:top w:w="0" w:type="dxa"/>
              <w:left w:w="57" w:type="dxa"/>
              <w:bottom w:w="0" w:type="dxa"/>
              <w:right w:w="57" w:type="dxa"/>
            </w:tcMar>
            <w:vAlign w:val="center"/>
          </w:tcPr>
          <w:p w14:paraId="4C931816">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03C2F488">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04D2142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6AC44477">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7C605CE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7DFF22DC">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142865A9">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r>
      <w:tr w14:paraId="0315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1EB89F57">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39B9E412">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6E049F15">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2.其他法律行政法规禁止公开</w:t>
            </w:r>
          </w:p>
        </w:tc>
        <w:tc>
          <w:tcPr>
            <w:tcW w:w="623" w:type="dxa"/>
            <w:noWrap w:val="0"/>
            <w:tcMar>
              <w:top w:w="0" w:type="dxa"/>
              <w:left w:w="57" w:type="dxa"/>
              <w:bottom w:w="0" w:type="dxa"/>
              <w:right w:w="57" w:type="dxa"/>
            </w:tcMar>
            <w:vAlign w:val="center"/>
          </w:tcPr>
          <w:p w14:paraId="44BC3CD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73F98CF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56FAB63C">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067DFAF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32D85054">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7B5101C4">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428D1AEF">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r>
      <w:tr w14:paraId="29B9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6EA024DD">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55E5BFF5">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51939DDB">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3.危及“三安全一稳定”</w:t>
            </w:r>
          </w:p>
        </w:tc>
        <w:tc>
          <w:tcPr>
            <w:tcW w:w="623" w:type="dxa"/>
            <w:noWrap w:val="0"/>
            <w:tcMar>
              <w:top w:w="0" w:type="dxa"/>
              <w:left w:w="57" w:type="dxa"/>
              <w:bottom w:w="0" w:type="dxa"/>
              <w:right w:w="57" w:type="dxa"/>
            </w:tcMar>
            <w:vAlign w:val="center"/>
          </w:tcPr>
          <w:p w14:paraId="4FE8383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7ADF401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0C8BB36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5D495F87">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3B1A46F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0462D82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4AE336F6">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r>
      <w:tr w14:paraId="7B60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61440580">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108B5C2F">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6ED72D6C">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4.保护第三方合法权益</w:t>
            </w:r>
          </w:p>
        </w:tc>
        <w:tc>
          <w:tcPr>
            <w:tcW w:w="623" w:type="dxa"/>
            <w:noWrap w:val="0"/>
            <w:tcMar>
              <w:top w:w="0" w:type="dxa"/>
              <w:left w:w="57" w:type="dxa"/>
              <w:bottom w:w="0" w:type="dxa"/>
              <w:right w:w="57" w:type="dxa"/>
            </w:tcMar>
            <w:vAlign w:val="center"/>
          </w:tcPr>
          <w:p w14:paraId="71ED01C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1</w:t>
            </w:r>
          </w:p>
        </w:tc>
        <w:tc>
          <w:tcPr>
            <w:tcW w:w="663" w:type="dxa"/>
            <w:noWrap w:val="0"/>
            <w:tcMar>
              <w:top w:w="0" w:type="dxa"/>
              <w:left w:w="57" w:type="dxa"/>
              <w:bottom w:w="0" w:type="dxa"/>
              <w:right w:w="57" w:type="dxa"/>
            </w:tcMar>
            <w:vAlign w:val="center"/>
          </w:tcPr>
          <w:p w14:paraId="05A43DC7">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2C8270F1">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200CBA3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6448394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619672E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37C9C933">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1</w:t>
            </w:r>
          </w:p>
        </w:tc>
      </w:tr>
      <w:tr w14:paraId="6194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2E480E43">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39EA656F">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64215B4A">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5.属于三类内部事务信息</w:t>
            </w:r>
          </w:p>
        </w:tc>
        <w:tc>
          <w:tcPr>
            <w:tcW w:w="623" w:type="dxa"/>
            <w:noWrap w:val="0"/>
            <w:tcMar>
              <w:top w:w="0" w:type="dxa"/>
              <w:left w:w="57" w:type="dxa"/>
              <w:bottom w:w="0" w:type="dxa"/>
              <w:right w:w="57" w:type="dxa"/>
            </w:tcMar>
            <w:vAlign w:val="center"/>
          </w:tcPr>
          <w:p w14:paraId="321B9F63">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3A564560">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5C05FBA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1643EB8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5523A878">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65C60403">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51D88BA6">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r>
      <w:tr w14:paraId="7A23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2E8519D0">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2B0876A5">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2EAFA41A">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6.属于四类过程性信息</w:t>
            </w:r>
          </w:p>
        </w:tc>
        <w:tc>
          <w:tcPr>
            <w:tcW w:w="623" w:type="dxa"/>
            <w:noWrap w:val="0"/>
            <w:tcMar>
              <w:top w:w="0" w:type="dxa"/>
              <w:left w:w="57" w:type="dxa"/>
              <w:bottom w:w="0" w:type="dxa"/>
              <w:right w:w="57" w:type="dxa"/>
            </w:tcMar>
            <w:vAlign w:val="center"/>
          </w:tcPr>
          <w:p w14:paraId="14DF5C41">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4471891F">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0C0F247F">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70AFE5A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795171A0">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732D6143">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7BF55444">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r>
      <w:tr w14:paraId="1B0A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6CE6B156">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1D60F8DC">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722EC7B8">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7.属于行政执法案卷</w:t>
            </w:r>
          </w:p>
        </w:tc>
        <w:tc>
          <w:tcPr>
            <w:tcW w:w="623" w:type="dxa"/>
            <w:noWrap w:val="0"/>
            <w:tcMar>
              <w:top w:w="0" w:type="dxa"/>
              <w:left w:w="57" w:type="dxa"/>
              <w:bottom w:w="0" w:type="dxa"/>
              <w:right w:w="57" w:type="dxa"/>
            </w:tcMar>
            <w:vAlign w:val="center"/>
          </w:tcPr>
          <w:p w14:paraId="46F2359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64D19DE4">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29A1AA78">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3F37D65C">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3125138F">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1670E563">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40CDFDE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r>
      <w:tr w14:paraId="3824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7BFEDA6D">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15D8B39C">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6FE84786">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8.属于行政查询事项</w:t>
            </w:r>
          </w:p>
        </w:tc>
        <w:tc>
          <w:tcPr>
            <w:tcW w:w="623" w:type="dxa"/>
            <w:noWrap w:val="0"/>
            <w:tcMar>
              <w:top w:w="0" w:type="dxa"/>
              <w:left w:w="57" w:type="dxa"/>
              <w:bottom w:w="0" w:type="dxa"/>
              <w:right w:w="57" w:type="dxa"/>
            </w:tcMar>
            <w:vAlign w:val="center"/>
          </w:tcPr>
          <w:p w14:paraId="2A326C9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771B6C70">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419F1E48">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6231F81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5747EDF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6FEA440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59ED384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r>
      <w:tr w14:paraId="1DD4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1BC63DDD">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restart"/>
            <w:noWrap w:val="0"/>
            <w:tcMar>
              <w:top w:w="0" w:type="dxa"/>
              <w:left w:w="57" w:type="dxa"/>
              <w:bottom w:w="0" w:type="dxa"/>
              <w:right w:w="57" w:type="dxa"/>
            </w:tcMar>
            <w:vAlign w:val="center"/>
          </w:tcPr>
          <w:p w14:paraId="55A262C3">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（四）无法提供</w:t>
            </w:r>
          </w:p>
        </w:tc>
        <w:tc>
          <w:tcPr>
            <w:tcW w:w="2744" w:type="dxa"/>
            <w:noWrap w:val="0"/>
            <w:tcMar>
              <w:top w:w="0" w:type="dxa"/>
              <w:left w:w="57" w:type="dxa"/>
              <w:bottom w:w="0" w:type="dxa"/>
              <w:right w:w="57" w:type="dxa"/>
            </w:tcMar>
            <w:vAlign w:val="center"/>
          </w:tcPr>
          <w:p w14:paraId="1D1F2E18">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1.本机关不掌握相关政府信息</w:t>
            </w:r>
          </w:p>
        </w:tc>
        <w:tc>
          <w:tcPr>
            <w:tcW w:w="623" w:type="dxa"/>
            <w:noWrap w:val="0"/>
            <w:tcMar>
              <w:top w:w="0" w:type="dxa"/>
              <w:left w:w="57" w:type="dxa"/>
              <w:bottom w:w="0" w:type="dxa"/>
              <w:right w:w="57" w:type="dxa"/>
            </w:tcMar>
            <w:vAlign w:val="center"/>
          </w:tcPr>
          <w:p w14:paraId="3811685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6</w:t>
            </w:r>
          </w:p>
        </w:tc>
        <w:tc>
          <w:tcPr>
            <w:tcW w:w="663" w:type="dxa"/>
            <w:noWrap w:val="0"/>
            <w:tcMar>
              <w:top w:w="0" w:type="dxa"/>
              <w:left w:w="57" w:type="dxa"/>
              <w:bottom w:w="0" w:type="dxa"/>
              <w:right w:w="57" w:type="dxa"/>
            </w:tcMar>
            <w:vAlign w:val="center"/>
          </w:tcPr>
          <w:p w14:paraId="13121BA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47933E03">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47269824">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0657019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527963C9">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556FA417">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6</w:t>
            </w:r>
          </w:p>
        </w:tc>
      </w:tr>
      <w:tr w14:paraId="5771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72B7620E">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073E3620">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1AFD3FE2">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2.没有现成信息需要另行制作</w:t>
            </w:r>
          </w:p>
        </w:tc>
        <w:tc>
          <w:tcPr>
            <w:tcW w:w="623" w:type="dxa"/>
            <w:noWrap w:val="0"/>
            <w:tcMar>
              <w:top w:w="0" w:type="dxa"/>
              <w:left w:w="57" w:type="dxa"/>
              <w:bottom w:w="0" w:type="dxa"/>
              <w:right w:w="57" w:type="dxa"/>
            </w:tcMar>
            <w:vAlign w:val="center"/>
          </w:tcPr>
          <w:p w14:paraId="5395ECB7">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1</w:t>
            </w:r>
          </w:p>
        </w:tc>
        <w:tc>
          <w:tcPr>
            <w:tcW w:w="663" w:type="dxa"/>
            <w:noWrap w:val="0"/>
            <w:tcMar>
              <w:top w:w="0" w:type="dxa"/>
              <w:left w:w="57" w:type="dxa"/>
              <w:bottom w:w="0" w:type="dxa"/>
              <w:right w:w="57" w:type="dxa"/>
            </w:tcMar>
            <w:vAlign w:val="center"/>
          </w:tcPr>
          <w:p w14:paraId="076D6B1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66D3ACE0">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4D532426">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4CDEDAE4">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04733A89">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0924931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1</w:t>
            </w:r>
          </w:p>
        </w:tc>
      </w:tr>
      <w:tr w14:paraId="08AB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39B78C32">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545CBC94">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3558DB54">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3.补正后申请内容仍不明确</w:t>
            </w:r>
          </w:p>
        </w:tc>
        <w:tc>
          <w:tcPr>
            <w:tcW w:w="623" w:type="dxa"/>
            <w:noWrap w:val="0"/>
            <w:tcMar>
              <w:top w:w="0" w:type="dxa"/>
              <w:left w:w="57" w:type="dxa"/>
              <w:bottom w:w="0" w:type="dxa"/>
              <w:right w:w="57" w:type="dxa"/>
            </w:tcMar>
            <w:vAlign w:val="center"/>
          </w:tcPr>
          <w:p w14:paraId="53011C9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0D80373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75BFAD6F">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17CC6CD7">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3B25A41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67EB1C8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6F09A41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r>
      <w:tr w14:paraId="6FD5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0C93B5B4">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restart"/>
            <w:noWrap w:val="0"/>
            <w:tcMar>
              <w:top w:w="0" w:type="dxa"/>
              <w:left w:w="57" w:type="dxa"/>
              <w:bottom w:w="0" w:type="dxa"/>
              <w:right w:w="57" w:type="dxa"/>
            </w:tcMar>
            <w:vAlign w:val="center"/>
          </w:tcPr>
          <w:p w14:paraId="587AFFD6">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（五）不予处理</w:t>
            </w:r>
          </w:p>
        </w:tc>
        <w:tc>
          <w:tcPr>
            <w:tcW w:w="2744" w:type="dxa"/>
            <w:noWrap w:val="0"/>
            <w:tcMar>
              <w:top w:w="0" w:type="dxa"/>
              <w:left w:w="57" w:type="dxa"/>
              <w:bottom w:w="0" w:type="dxa"/>
              <w:right w:w="57" w:type="dxa"/>
            </w:tcMar>
            <w:vAlign w:val="center"/>
          </w:tcPr>
          <w:p w14:paraId="7B955BAF">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1.信访举报投诉类申请</w:t>
            </w:r>
          </w:p>
        </w:tc>
        <w:tc>
          <w:tcPr>
            <w:tcW w:w="623" w:type="dxa"/>
            <w:noWrap w:val="0"/>
            <w:tcMar>
              <w:top w:w="0" w:type="dxa"/>
              <w:left w:w="57" w:type="dxa"/>
              <w:bottom w:w="0" w:type="dxa"/>
              <w:right w:w="57" w:type="dxa"/>
            </w:tcMar>
            <w:vAlign w:val="center"/>
          </w:tcPr>
          <w:p w14:paraId="08191EBC">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1B006E7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0532C889">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4CF7DE9C">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3DF209E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682F214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0286F78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r>
      <w:tr w14:paraId="1A85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78AE0977">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1AFD0BCF">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51BF7E76">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2.重复申请</w:t>
            </w:r>
          </w:p>
        </w:tc>
        <w:tc>
          <w:tcPr>
            <w:tcW w:w="623" w:type="dxa"/>
            <w:noWrap w:val="0"/>
            <w:tcMar>
              <w:top w:w="0" w:type="dxa"/>
              <w:left w:w="57" w:type="dxa"/>
              <w:bottom w:w="0" w:type="dxa"/>
              <w:right w:w="57" w:type="dxa"/>
            </w:tcMar>
            <w:vAlign w:val="center"/>
          </w:tcPr>
          <w:p w14:paraId="6C171D6C">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7867025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135D0F0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107BCA1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7F54F619">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1A9A99D8">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01EA2E8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r>
      <w:tr w14:paraId="37B4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30FB337E">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02F02256">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3691D521">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3.要求提供公开出版物</w:t>
            </w:r>
          </w:p>
        </w:tc>
        <w:tc>
          <w:tcPr>
            <w:tcW w:w="623" w:type="dxa"/>
            <w:noWrap w:val="0"/>
            <w:tcMar>
              <w:top w:w="0" w:type="dxa"/>
              <w:left w:w="57" w:type="dxa"/>
              <w:bottom w:w="0" w:type="dxa"/>
              <w:right w:w="57" w:type="dxa"/>
            </w:tcMar>
            <w:vAlign w:val="center"/>
          </w:tcPr>
          <w:p w14:paraId="0DD73291">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4F6873B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2EE088B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54414C58">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1FA507A3">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28A458B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08D559F6">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r>
      <w:tr w14:paraId="32D3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40E036E5">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76661281">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66AB2BFF">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4.无正当理由大量反复申请</w:t>
            </w:r>
          </w:p>
        </w:tc>
        <w:tc>
          <w:tcPr>
            <w:tcW w:w="623" w:type="dxa"/>
            <w:noWrap w:val="0"/>
            <w:tcMar>
              <w:top w:w="0" w:type="dxa"/>
              <w:left w:w="57" w:type="dxa"/>
              <w:bottom w:w="0" w:type="dxa"/>
              <w:right w:w="57" w:type="dxa"/>
            </w:tcMar>
            <w:vAlign w:val="center"/>
          </w:tcPr>
          <w:p w14:paraId="2420073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05A329BF">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415B3FCC">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7B63A8A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0BC450A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623F4EE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7C9E5F0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r>
      <w:tr w14:paraId="352D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39BCF033">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continue"/>
            <w:noWrap w:val="0"/>
            <w:vAlign w:val="center"/>
          </w:tcPr>
          <w:p w14:paraId="2AA6E190">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5E13491F">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5.要求行政机关确认或重新出具已获取信息</w:t>
            </w:r>
          </w:p>
        </w:tc>
        <w:tc>
          <w:tcPr>
            <w:tcW w:w="623" w:type="dxa"/>
            <w:noWrap w:val="0"/>
            <w:tcMar>
              <w:top w:w="0" w:type="dxa"/>
              <w:left w:w="57" w:type="dxa"/>
              <w:bottom w:w="0" w:type="dxa"/>
              <w:right w:w="57" w:type="dxa"/>
            </w:tcMar>
            <w:vAlign w:val="center"/>
          </w:tcPr>
          <w:p w14:paraId="0C8FF827">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2BC3958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69E4F3D8">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3D7F66A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77D56441">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3A932ED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4F08628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r>
      <w:tr w14:paraId="660B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45AA3266">
            <w:pPr>
              <w:adjustRightInd w:val="0"/>
              <w:snapToGrid w:val="0"/>
              <w:spacing w:line="280" w:lineRule="exact"/>
              <w:jc w:val="center"/>
              <w:rPr>
                <w:rFonts w:hint="default" w:ascii="Times New Roman" w:hAnsi="Times New Roman" w:eastAsia="方正书宋_GBK" w:cs="Times New Roman"/>
                <w:color w:val="000000"/>
                <w:kern w:val="0"/>
                <w:szCs w:val="21"/>
              </w:rPr>
            </w:pPr>
          </w:p>
        </w:tc>
        <w:tc>
          <w:tcPr>
            <w:tcW w:w="1106" w:type="dxa"/>
            <w:vMerge w:val="restart"/>
            <w:noWrap w:val="0"/>
            <w:tcMar>
              <w:top w:w="0" w:type="dxa"/>
              <w:left w:w="57" w:type="dxa"/>
              <w:bottom w:w="0" w:type="dxa"/>
              <w:right w:w="57" w:type="dxa"/>
            </w:tcMar>
            <w:vAlign w:val="center"/>
          </w:tcPr>
          <w:p w14:paraId="14F36E97">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（六）其他处理</w:t>
            </w:r>
          </w:p>
        </w:tc>
        <w:tc>
          <w:tcPr>
            <w:tcW w:w="2744" w:type="dxa"/>
            <w:noWrap w:val="0"/>
            <w:tcMar>
              <w:top w:w="0" w:type="dxa"/>
              <w:left w:w="57" w:type="dxa"/>
              <w:bottom w:w="0" w:type="dxa"/>
              <w:right w:w="57" w:type="dxa"/>
            </w:tcMar>
            <w:vAlign w:val="center"/>
          </w:tcPr>
          <w:p w14:paraId="22CCB35F">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1.申请人无正当理由逾期不补正、行政机关不再处理其政府信息公开申请</w:t>
            </w:r>
          </w:p>
        </w:tc>
        <w:tc>
          <w:tcPr>
            <w:tcW w:w="623" w:type="dxa"/>
            <w:noWrap w:val="0"/>
            <w:tcMar>
              <w:top w:w="0" w:type="dxa"/>
              <w:left w:w="57" w:type="dxa"/>
              <w:bottom w:w="0" w:type="dxa"/>
              <w:right w:w="57" w:type="dxa"/>
            </w:tcMar>
            <w:vAlign w:val="center"/>
          </w:tcPr>
          <w:p w14:paraId="41A70CF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1E10E5E6">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721FDA4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7F9C2A7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26AEBF36">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4EC07924">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14226764">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r>
      <w:tr w14:paraId="7133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06627612">
            <w:pPr>
              <w:adjustRightInd w:val="0"/>
              <w:snapToGrid w:val="0"/>
              <w:spacing w:line="280" w:lineRule="exact"/>
              <w:rPr>
                <w:rFonts w:hint="default" w:ascii="Times New Roman" w:hAnsi="Times New Roman" w:eastAsia="方正书宋_GBK" w:cs="Times New Roman"/>
                <w:color w:val="000000"/>
                <w:kern w:val="0"/>
                <w:szCs w:val="21"/>
              </w:rPr>
            </w:pPr>
          </w:p>
        </w:tc>
        <w:tc>
          <w:tcPr>
            <w:tcW w:w="1106" w:type="dxa"/>
            <w:vMerge w:val="continue"/>
            <w:noWrap w:val="0"/>
            <w:vAlign w:val="center"/>
          </w:tcPr>
          <w:p w14:paraId="01768368">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796AFF1B">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2.申请人逾期未按收费通知要求缴纳费用、行政机关不再处理其政府信息公开申请</w:t>
            </w:r>
          </w:p>
        </w:tc>
        <w:tc>
          <w:tcPr>
            <w:tcW w:w="623" w:type="dxa"/>
            <w:noWrap w:val="0"/>
            <w:tcMar>
              <w:top w:w="0" w:type="dxa"/>
              <w:left w:w="57" w:type="dxa"/>
              <w:bottom w:w="0" w:type="dxa"/>
              <w:right w:w="57" w:type="dxa"/>
            </w:tcMar>
            <w:vAlign w:val="center"/>
          </w:tcPr>
          <w:p w14:paraId="0F73F646">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30B5476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21DC333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1A462496">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09E01C99">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491B3DAC">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02B61ED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r>
      <w:tr w14:paraId="6A47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55E78EDD">
            <w:pPr>
              <w:adjustRightInd w:val="0"/>
              <w:snapToGrid w:val="0"/>
              <w:spacing w:line="280" w:lineRule="exact"/>
              <w:rPr>
                <w:rFonts w:hint="default" w:ascii="Times New Roman" w:hAnsi="Times New Roman" w:eastAsia="方正书宋_GBK" w:cs="Times New Roman"/>
                <w:color w:val="000000"/>
                <w:kern w:val="0"/>
                <w:szCs w:val="21"/>
              </w:rPr>
            </w:pPr>
          </w:p>
        </w:tc>
        <w:tc>
          <w:tcPr>
            <w:tcW w:w="1106" w:type="dxa"/>
            <w:vMerge w:val="continue"/>
            <w:noWrap w:val="0"/>
            <w:vAlign w:val="center"/>
          </w:tcPr>
          <w:p w14:paraId="4D43748B">
            <w:pPr>
              <w:adjustRightInd w:val="0"/>
              <w:snapToGrid w:val="0"/>
              <w:spacing w:line="280" w:lineRule="exact"/>
              <w:rPr>
                <w:rFonts w:hint="default" w:ascii="Times New Roman" w:hAnsi="Times New Roman" w:eastAsia="方正书宋_GBK" w:cs="Times New Roman"/>
                <w:color w:val="000000"/>
                <w:kern w:val="0"/>
                <w:szCs w:val="21"/>
              </w:rPr>
            </w:pPr>
          </w:p>
        </w:tc>
        <w:tc>
          <w:tcPr>
            <w:tcW w:w="2744" w:type="dxa"/>
            <w:noWrap w:val="0"/>
            <w:tcMar>
              <w:top w:w="0" w:type="dxa"/>
              <w:left w:w="57" w:type="dxa"/>
              <w:bottom w:w="0" w:type="dxa"/>
              <w:right w:w="57" w:type="dxa"/>
            </w:tcMar>
            <w:vAlign w:val="center"/>
          </w:tcPr>
          <w:p w14:paraId="7C9E6D86">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3.其他</w:t>
            </w:r>
          </w:p>
        </w:tc>
        <w:tc>
          <w:tcPr>
            <w:tcW w:w="623" w:type="dxa"/>
            <w:noWrap w:val="0"/>
            <w:tcMar>
              <w:top w:w="0" w:type="dxa"/>
              <w:left w:w="57" w:type="dxa"/>
              <w:bottom w:w="0" w:type="dxa"/>
              <w:right w:w="57" w:type="dxa"/>
            </w:tcMar>
            <w:vAlign w:val="center"/>
          </w:tcPr>
          <w:p w14:paraId="75E4AF33">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6FB77DF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0E4A1DFF">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6116A98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38F274C3">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57090028">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6688061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r>
      <w:tr w14:paraId="60A1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869" w:type="dxa"/>
            <w:vMerge w:val="continue"/>
            <w:shd w:val="clear" w:color="auto" w:fill="auto"/>
            <w:noWrap w:val="0"/>
            <w:vAlign w:val="center"/>
          </w:tcPr>
          <w:p w14:paraId="6101355F">
            <w:pPr>
              <w:adjustRightInd w:val="0"/>
              <w:snapToGrid w:val="0"/>
              <w:spacing w:line="280" w:lineRule="exact"/>
              <w:rPr>
                <w:rFonts w:hint="default" w:ascii="Times New Roman" w:hAnsi="Times New Roman" w:eastAsia="方正书宋_GBK" w:cs="Times New Roman"/>
                <w:color w:val="000000"/>
                <w:kern w:val="0"/>
                <w:szCs w:val="21"/>
              </w:rPr>
            </w:pPr>
          </w:p>
        </w:tc>
        <w:tc>
          <w:tcPr>
            <w:tcW w:w="3850" w:type="dxa"/>
            <w:gridSpan w:val="2"/>
            <w:noWrap w:val="0"/>
            <w:vAlign w:val="center"/>
          </w:tcPr>
          <w:p w14:paraId="49135219">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（七）总计</w:t>
            </w:r>
          </w:p>
        </w:tc>
        <w:tc>
          <w:tcPr>
            <w:tcW w:w="623" w:type="dxa"/>
            <w:noWrap w:val="0"/>
            <w:tcMar>
              <w:top w:w="0" w:type="dxa"/>
              <w:left w:w="57" w:type="dxa"/>
              <w:bottom w:w="0" w:type="dxa"/>
              <w:right w:w="57" w:type="dxa"/>
            </w:tcMar>
            <w:vAlign w:val="center"/>
          </w:tcPr>
          <w:p w14:paraId="66CC8AD8">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27</w:t>
            </w:r>
          </w:p>
        </w:tc>
        <w:tc>
          <w:tcPr>
            <w:tcW w:w="663" w:type="dxa"/>
            <w:noWrap w:val="0"/>
            <w:tcMar>
              <w:top w:w="0" w:type="dxa"/>
              <w:left w:w="57" w:type="dxa"/>
              <w:bottom w:w="0" w:type="dxa"/>
              <w:right w:w="57" w:type="dxa"/>
            </w:tcMar>
            <w:vAlign w:val="center"/>
          </w:tcPr>
          <w:p w14:paraId="343DED63">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0794B82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363D7B67">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7BDB440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203DC57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3546A19E">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27</w:t>
            </w:r>
          </w:p>
        </w:tc>
      </w:tr>
      <w:tr w14:paraId="5B10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5" w:hRule="atLeast"/>
          <w:jc w:val="center"/>
        </w:trPr>
        <w:tc>
          <w:tcPr>
            <w:tcW w:w="4719" w:type="dxa"/>
            <w:gridSpan w:val="3"/>
            <w:noWrap w:val="0"/>
            <w:vAlign w:val="center"/>
          </w:tcPr>
          <w:p w14:paraId="7ADE72E8">
            <w:pPr>
              <w:adjustRightInd w:val="0"/>
              <w:snapToGrid w:val="0"/>
              <w:spacing w:line="280" w:lineRule="exact"/>
              <w:rPr>
                <w:rFonts w:hint="default" w:ascii="Times New Roman" w:hAnsi="Times New Roman" w:eastAsia="方正书宋_GBK" w:cs="Times New Roman"/>
                <w:color w:val="000000"/>
                <w:kern w:val="0"/>
                <w:szCs w:val="21"/>
              </w:rPr>
            </w:pPr>
            <w:r>
              <w:rPr>
                <w:rFonts w:hint="default" w:ascii="Times New Roman" w:hAnsi="Times New Roman" w:eastAsia="方正书宋_GBK" w:cs="Times New Roman"/>
                <w:color w:val="000000"/>
                <w:kern w:val="0"/>
                <w:szCs w:val="21"/>
              </w:rPr>
              <w:t>四、结转下年度继续办理</w:t>
            </w:r>
          </w:p>
        </w:tc>
        <w:tc>
          <w:tcPr>
            <w:tcW w:w="623" w:type="dxa"/>
            <w:noWrap w:val="0"/>
            <w:tcMar>
              <w:top w:w="0" w:type="dxa"/>
              <w:left w:w="57" w:type="dxa"/>
              <w:bottom w:w="0" w:type="dxa"/>
              <w:right w:w="57" w:type="dxa"/>
            </w:tcMar>
            <w:vAlign w:val="center"/>
          </w:tcPr>
          <w:p w14:paraId="56E59CE9">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63" w:type="dxa"/>
            <w:noWrap w:val="0"/>
            <w:tcMar>
              <w:top w:w="0" w:type="dxa"/>
              <w:left w:w="57" w:type="dxa"/>
              <w:bottom w:w="0" w:type="dxa"/>
              <w:right w:w="57" w:type="dxa"/>
            </w:tcMar>
            <w:vAlign w:val="center"/>
          </w:tcPr>
          <w:p w14:paraId="47E925F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4B8C013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50" w:type="dxa"/>
            <w:noWrap w:val="0"/>
            <w:tcMar>
              <w:top w:w="0" w:type="dxa"/>
              <w:left w:w="57" w:type="dxa"/>
              <w:bottom w:w="0" w:type="dxa"/>
              <w:right w:w="57" w:type="dxa"/>
            </w:tcMar>
            <w:vAlign w:val="center"/>
          </w:tcPr>
          <w:p w14:paraId="1A715ED4">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41D418F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25" w:type="dxa"/>
            <w:noWrap w:val="0"/>
            <w:tcMar>
              <w:top w:w="0" w:type="dxa"/>
              <w:left w:w="57" w:type="dxa"/>
              <w:bottom w:w="0" w:type="dxa"/>
              <w:right w:w="57" w:type="dxa"/>
            </w:tcMar>
            <w:vAlign w:val="center"/>
          </w:tcPr>
          <w:p w14:paraId="0B1BE996">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517" w:type="dxa"/>
            <w:noWrap w:val="0"/>
            <w:tcMar>
              <w:top w:w="0" w:type="dxa"/>
              <w:left w:w="57" w:type="dxa"/>
              <w:bottom w:w="0" w:type="dxa"/>
              <w:right w:w="57" w:type="dxa"/>
            </w:tcMar>
            <w:vAlign w:val="center"/>
          </w:tcPr>
          <w:p w14:paraId="0B60CB7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r>
    </w:tbl>
    <w:p w14:paraId="2E63B41D">
      <w:pPr>
        <w:adjustRightInd w:val="0"/>
        <w:snapToGrid w:val="0"/>
        <w:spacing w:line="460" w:lineRule="exact"/>
        <w:ind w:firstLine="640" w:firstLineChars="200"/>
        <w:rPr>
          <w:rFonts w:hint="default" w:ascii="Times New Roman" w:hAnsi="Times New Roman" w:eastAsia="黑体" w:cs="Times New Roman"/>
          <w:snapToGrid w:val="0"/>
          <w:color w:val="000000"/>
          <w:sz w:val="32"/>
          <w:szCs w:val="32"/>
        </w:rPr>
      </w:pPr>
      <w:r>
        <w:rPr>
          <w:rFonts w:hint="default" w:ascii="Times New Roman" w:hAnsi="Times New Roman" w:eastAsia="黑体" w:cs="Times New Roman"/>
          <w:snapToGrid w:val="0"/>
          <w:color w:val="000000"/>
          <w:sz w:val="32"/>
          <w:szCs w:val="32"/>
        </w:rPr>
        <w:t>四、政府信息公开行政复议、行政诉讼情况</w:t>
      </w:r>
    </w:p>
    <w:tbl>
      <w:tblPr>
        <w:tblStyle w:val="4"/>
        <w:tblW w:w="9072" w:type="dxa"/>
        <w:jc w:val="center"/>
        <w:tblLayout w:type="fixed"/>
        <w:tblCellMar>
          <w:top w:w="28" w:type="dxa"/>
          <w:left w:w="28" w:type="dxa"/>
          <w:bottom w:w="28" w:type="dxa"/>
          <w:right w:w="28" w:type="dxa"/>
        </w:tblCellMar>
      </w:tblPr>
      <w:tblGrid>
        <w:gridCol w:w="605"/>
        <w:gridCol w:w="605"/>
        <w:gridCol w:w="605"/>
        <w:gridCol w:w="605"/>
        <w:gridCol w:w="604"/>
        <w:gridCol w:w="604"/>
        <w:gridCol w:w="604"/>
        <w:gridCol w:w="605"/>
        <w:gridCol w:w="605"/>
        <w:gridCol w:w="605"/>
        <w:gridCol w:w="605"/>
        <w:gridCol w:w="605"/>
        <w:gridCol w:w="605"/>
        <w:gridCol w:w="605"/>
        <w:gridCol w:w="605"/>
      </w:tblGrid>
      <w:tr w14:paraId="734631DD">
        <w:tblPrEx>
          <w:tblCellMar>
            <w:top w:w="28" w:type="dxa"/>
            <w:left w:w="28" w:type="dxa"/>
            <w:bottom w:w="28" w:type="dxa"/>
            <w:right w:w="28" w:type="dxa"/>
          </w:tblCellMar>
        </w:tblPrEx>
        <w:trPr>
          <w:trHeight w:val="397" w:hRule="atLeast"/>
          <w:jc w:val="center"/>
        </w:trPr>
        <w:tc>
          <w:tcPr>
            <w:tcW w:w="3024" w:type="dxa"/>
            <w:gridSpan w:val="5"/>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72567EEB">
            <w:pPr>
              <w:widowControl/>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行政复议</w:t>
            </w:r>
          </w:p>
        </w:tc>
        <w:tc>
          <w:tcPr>
            <w:tcW w:w="6048" w:type="dxa"/>
            <w:gridSpan w:val="10"/>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22A61274">
            <w:pPr>
              <w:widowControl/>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行政诉讼</w:t>
            </w:r>
          </w:p>
        </w:tc>
      </w:tr>
      <w:tr w14:paraId="0CF0AFF8">
        <w:tblPrEx>
          <w:tblCellMar>
            <w:top w:w="28" w:type="dxa"/>
            <w:left w:w="28" w:type="dxa"/>
            <w:bottom w:w="28" w:type="dxa"/>
            <w:right w:w="28" w:type="dxa"/>
          </w:tblCellMar>
        </w:tblPrEx>
        <w:trPr>
          <w:trHeight w:val="397" w:hRule="atLeast"/>
          <w:jc w:val="center"/>
        </w:trPr>
        <w:tc>
          <w:tcPr>
            <w:tcW w:w="605" w:type="dxa"/>
            <w:vMerge w:val="restart"/>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1EA9EB67">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结果维持</w:t>
            </w:r>
          </w:p>
        </w:tc>
        <w:tc>
          <w:tcPr>
            <w:tcW w:w="605" w:type="dxa"/>
            <w:vMerge w:val="restart"/>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27D3C3CF">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结果</w:t>
            </w:r>
            <w:r>
              <w:rPr>
                <w:rFonts w:hint="default" w:ascii="Times New Roman" w:hAnsi="Times New Roman" w:eastAsia="方正黑体_GBK" w:cs="Times New Roman"/>
                <w:color w:val="000000"/>
                <w:kern w:val="0"/>
                <w:szCs w:val="21"/>
              </w:rPr>
              <w:br w:type="textWrapping"/>
            </w:r>
            <w:r>
              <w:rPr>
                <w:rFonts w:hint="default" w:ascii="Times New Roman" w:hAnsi="Times New Roman" w:eastAsia="方正黑体_GBK" w:cs="Times New Roman"/>
                <w:color w:val="000000"/>
                <w:kern w:val="0"/>
                <w:szCs w:val="21"/>
              </w:rPr>
              <w:t>纠正</w:t>
            </w:r>
          </w:p>
        </w:tc>
        <w:tc>
          <w:tcPr>
            <w:tcW w:w="605" w:type="dxa"/>
            <w:vMerge w:val="restart"/>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00F8329B">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其他</w:t>
            </w:r>
            <w:r>
              <w:rPr>
                <w:rFonts w:hint="default" w:ascii="Times New Roman" w:hAnsi="Times New Roman" w:eastAsia="方正黑体_GBK" w:cs="Times New Roman"/>
                <w:color w:val="000000"/>
                <w:kern w:val="0"/>
                <w:szCs w:val="21"/>
              </w:rPr>
              <w:br w:type="textWrapping"/>
            </w:r>
            <w:r>
              <w:rPr>
                <w:rFonts w:hint="default" w:ascii="Times New Roman" w:hAnsi="Times New Roman" w:eastAsia="方正黑体_GBK" w:cs="Times New Roman"/>
                <w:color w:val="000000"/>
                <w:kern w:val="0"/>
                <w:szCs w:val="21"/>
              </w:rPr>
              <w:t>结果</w:t>
            </w:r>
          </w:p>
        </w:tc>
        <w:tc>
          <w:tcPr>
            <w:tcW w:w="605" w:type="dxa"/>
            <w:vMerge w:val="restart"/>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3A3976CC">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尚未</w:t>
            </w:r>
            <w:r>
              <w:rPr>
                <w:rFonts w:hint="default" w:ascii="Times New Roman" w:hAnsi="Times New Roman" w:eastAsia="方正黑体_GBK" w:cs="Times New Roman"/>
                <w:color w:val="000000"/>
                <w:kern w:val="0"/>
                <w:szCs w:val="21"/>
              </w:rPr>
              <w:br w:type="textWrapping"/>
            </w:r>
            <w:r>
              <w:rPr>
                <w:rFonts w:hint="default" w:ascii="Times New Roman" w:hAnsi="Times New Roman" w:eastAsia="方正黑体_GBK" w:cs="Times New Roman"/>
                <w:color w:val="000000"/>
                <w:kern w:val="0"/>
                <w:szCs w:val="21"/>
              </w:rPr>
              <w:t>审结</w:t>
            </w:r>
          </w:p>
        </w:tc>
        <w:tc>
          <w:tcPr>
            <w:tcW w:w="604" w:type="dxa"/>
            <w:vMerge w:val="restart"/>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6FA01C80">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总计</w:t>
            </w:r>
          </w:p>
        </w:tc>
        <w:tc>
          <w:tcPr>
            <w:tcW w:w="3023" w:type="dxa"/>
            <w:gridSpan w:val="5"/>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64A90A3B">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未经复议直接起诉</w:t>
            </w:r>
          </w:p>
        </w:tc>
        <w:tc>
          <w:tcPr>
            <w:tcW w:w="3025" w:type="dxa"/>
            <w:gridSpan w:val="5"/>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50D67886">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复议后起诉</w:t>
            </w:r>
          </w:p>
        </w:tc>
      </w:tr>
      <w:tr w14:paraId="60FE9F14">
        <w:tblPrEx>
          <w:tblCellMar>
            <w:top w:w="28" w:type="dxa"/>
            <w:left w:w="28" w:type="dxa"/>
            <w:bottom w:w="28" w:type="dxa"/>
            <w:right w:w="28" w:type="dxa"/>
          </w:tblCellMar>
        </w:tblPrEx>
        <w:trPr>
          <w:trHeight w:val="397" w:hRule="atLeast"/>
          <w:jc w:val="center"/>
        </w:trPr>
        <w:tc>
          <w:tcPr>
            <w:tcW w:w="0" w:type="auto"/>
            <w:vMerge w:val="continue"/>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7186A7CC">
            <w:pPr>
              <w:adjustRightInd w:val="0"/>
              <w:snapToGrid w:val="0"/>
              <w:spacing w:line="280" w:lineRule="exact"/>
              <w:jc w:val="center"/>
              <w:rPr>
                <w:rFonts w:hint="default" w:ascii="Times New Roman" w:hAnsi="Times New Roman" w:eastAsia="方正黑体_GBK" w:cs="Times New Roman"/>
                <w:color w:val="000000"/>
                <w:kern w:val="0"/>
                <w:szCs w:val="21"/>
              </w:rPr>
            </w:pPr>
          </w:p>
        </w:tc>
        <w:tc>
          <w:tcPr>
            <w:tcW w:w="0" w:type="auto"/>
            <w:vMerge w:val="continue"/>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64EFDBA5">
            <w:pPr>
              <w:adjustRightInd w:val="0"/>
              <w:snapToGrid w:val="0"/>
              <w:spacing w:line="280" w:lineRule="exact"/>
              <w:jc w:val="center"/>
              <w:rPr>
                <w:rFonts w:hint="default" w:ascii="Times New Roman" w:hAnsi="Times New Roman" w:eastAsia="方正黑体_GBK" w:cs="Times New Roman"/>
                <w:color w:val="000000"/>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0A3868D1">
            <w:pPr>
              <w:adjustRightInd w:val="0"/>
              <w:snapToGrid w:val="0"/>
              <w:spacing w:line="280" w:lineRule="exact"/>
              <w:jc w:val="center"/>
              <w:rPr>
                <w:rFonts w:hint="default" w:ascii="Times New Roman" w:hAnsi="Times New Roman" w:eastAsia="方正黑体_GBK" w:cs="Times New Roman"/>
                <w:color w:val="000000"/>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405B72CE">
            <w:pPr>
              <w:adjustRightInd w:val="0"/>
              <w:snapToGrid w:val="0"/>
              <w:spacing w:line="280" w:lineRule="exact"/>
              <w:jc w:val="center"/>
              <w:rPr>
                <w:rFonts w:hint="default" w:ascii="Times New Roman" w:hAnsi="Times New Roman" w:eastAsia="方正黑体_GBK" w:cs="Times New Roman"/>
                <w:color w:val="000000"/>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5E072F9B">
            <w:pPr>
              <w:adjustRightInd w:val="0"/>
              <w:snapToGrid w:val="0"/>
              <w:spacing w:line="280" w:lineRule="exact"/>
              <w:jc w:val="center"/>
              <w:rPr>
                <w:rFonts w:hint="default" w:ascii="Times New Roman" w:hAnsi="Times New Roman" w:eastAsia="方正黑体_GBK" w:cs="Times New Roman"/>
                <w:color w:val="000000"/>
                <w:kern w:val="0"/>
                <w:szCs w:val="21"/>
              </w:rPr>
            </w:pPr>
          </w:p>
        </w:tc>
        <w:tc>
          <w:tcPr>
            <w:tcW w:w="60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27016511">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结果</w:t>
            </w:r>
            <w:r>
              <w:rPr>
                <w:rFonts w:hint="default" w:ascii="Times New Roman" w:hAnsi="Times New Roman" w:eastAsia="方正黑体_GBK" w:cs="Times New Roman"/>
                <w:color w:val="000000"/>
                <w:kern w:val="0"/>
                <w:szCs w:val="21"/>
              </w:rPr>
              <w:br w:type="textWrapping"/>
            </w:r>
            <w:r>
              <w:rPr>
                <w:rFonts w:hint="default" w:ascii="Times New Roman" w:hAnsi="Times New Roman" w:eastAsia="方正黑体_GBK" w:cs="Times New Roman"/>
                <w:color w:val="000000"/>
                <w:kern w:val="0"/>
                <w:szCs w:val="21"/>
              </w:rPr>
              <w:t>维持</w:t>
            </w:r>
          </w:p>
        </w:tc>
        <w:tc>
          <w:tcPr>
            <w:tcW w:w="60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4E8B38E4">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结果</w:t>
            </w:r>
            <w:r>
              <w:rPr>
                <w:rFonts w:hint="default" w:ascii="Times New Roman" w:hAnsi="Times New Roman" w:eastAsia="方正黑体_GBK" w:cs="Times New Roman"/>
                <w:color w:val="000000"/>
                <w:kern w:val="0"/>
                <w:szCs w:val="21"/>
              </w:rPr>
              <w:br w:type="textWrapping"/>
            </w:r>
            <w:r>
              <w:rPr>
                <w:rFonts w:hint="default" w:ascii="Times New Roman" w:hAnsi="Times New Roman" w:eastAsia="方正黑体_GBK" w:cs="Times New Roman"/>
                <w:color w:val="000000"/>
                <w:kern w:val="0"/>
                <w:szCs w:val="21"/>
              </w:rPr>
              <w:t>纠正</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302A66EE">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其他</w:t>
            </w:r>
            <w:r>
              <w:rPr>
                <w:rFonts w:hint="default" w:ascii="Times New Roman" w:hAnsi="Times New Roman" w:eastAsia="方正黑体_GBK" w:cs="Times New Roman"/>
                <w:color w:val="000000"/>
                <w:kern w:val="0"/>
                <w:szCs w:val="21"/>
              </w:rPr>
              <w:br w:type="textWrapping"/>
            </w:r>
            <w:r>
              <w:rPr>
                <w:rFonts w:hint="default" w:ascii="Times New Roman" w:hAnsi="Times New Roman" w:eastAsia="方正黑体_GBK" w:cs="Times New Roman"/>
                <w:color w:val="000000"/>
                <w:kern w:val="0"/>
                <w:szCs w:val="21"/>
              </w:rPr>
              <w:t>结果</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4B40C58F">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尚未</w:t>
            </w:r>
            <w:r>
              <w:rPr>
                <w:rFonts w:hint="default" w:ascii="Times New Roman" w:hAnsi="Times New Roman" w:eastAsia="方正黑体_GBK" w:cs="Times New Roman"/>
                <w:color w:val="000000"/>
                <w:kern w:val="0"/>
                <w:szCs w:val="21"/>
              </w:rPr>
              <w:br w:type="textWrapping"/>
            </w:r>
            <w:r>
              <w:rPr>
                <w:rFonts w:hint="default" w:ascii="Times New Roman" w:hAnsi="Times New Roman" w:eastAsia="方正黑体_GBK" w:cs="Times New Roman"/>
                <w:color w:val="000000"/>
                <w:kern w:val="0"/>
                <w:szCs w:val="21"/>
              </w:rPr>
              <w:t>审结</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6E6B66F3">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总计</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3B11BB2A">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结果</w:t>
            </w:r>
            <w:r>
              <w:rPr>
                <w:rFonts w:hint="default" w:ascii="Times New Roman" w:hAnsi="Times New Roman" w:eastAsia="方正黑体_GBK" w:cs="Times New Roman"/>
                <w:color w:val="000000"/>
                <w:kern w:val="0"/>
                <w:szCs w:val="21"/>
              </w:rPr>
              <w:br w:type="textWrapping"/>
            </w:r>
            <w:r>
              <w:rPr>
                <w:rFonts w:hint="default" w:ascii="Times New Roman" w:hAnsi="Times New Roman" w:eastAsia="方正黑体_GBK" w:cs="Times New Roman"/>
                <w:color w:val="000000"/>
                <w:kern w:val="0"/>
                <w:szCs w:val="21"/>
              </w:rPr>
              <w:t>维持</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20DB140E">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结果</w:t>
            </w:r>
            <w:r>
              <w:rPr>
                <w:rFonts w:hint="default" w:ascii="Times New Roman" w:hAnsi="Times New Roman" w:eastAsia="方正黑体_GBK" w:cs="Times New Roman"/>
                <w:color w:val="000000"/>
                <w:kern w:val="0"/>
                <w:szCs w:val="21"/>
              </w:rPr>
              <w:br w:type="textWrapping"/>
            </w:r>
            <w:r>
              <w:rPr>
                <w:rFonts w:hint="default" w:ascii="Times New Roman" w:hAnsi="Times New Roman" w:eastAsia="方正黑体_GBK" w:cs="Times New Roman"/>
                <w:color w:val="000000"/>
                <w:kern w:val="0"/>
                <w:szCs w:val="21"/>
              </w:rPr>
              <w:t>纠正</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3830C904">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其他</w:t>
            </w:r>
            <w:r>
              <w:rPr>
                <w:rFonts w:hint="default" w:ascii="Times New Roman" w:hAnsi="Times New Roman" w:eastAsia="方正黑体_GBK" w:cs="Times New Roman"/>
                <w:color w:val="000000"/>
                <w:kern w:val="0"/>
                <w:szCs w:val="21"/>
              </w:rPr>
              <w:br w:type="textWrapping"/>
            </w:r>
            <w:r>
              <w:rPr>
                <w:rFonts w:hint="default" w:ascii="Times New Roman" w:hAnsi="Times New Roman" w:eastAsia="方正黑体_GBK" w:cs="Times New Roman"/>
                <w:color w:val="000000"/>
                <w:kern w:val="0"/>
                <w:szCs w:val="21"/>
              </w:rPr>
              <w:t>结果</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48B463F3">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尚未</w:t>
            </w:r>
            <w:r>
              <w:rPr>
                <w:rFonts w:hint="default" w:ascii="Times New Roman" w:hAnsi="Times New Roman" w:eastAsia="方正黑体_GBK" w:cs="Times New Roman"/>
                <w:color w:val="000000"/>
                <w:kern w:val="0"/>
                <w:szCs w:val="21"/>
              </w:rPr>
              <w:br w:type="textWrapping"/>
            </w:r>
            <w:r>
              <w:rPr>
                <w:rFonts w:hint="default" w:ascii="Times New Roman" w:hAnsi="Times New Roman" w:eastAsia="方正黑体_GBK" w:cs="Times New Roman"/>
                <w:color w:val="000000"/>
                <w:kern w:val="0"/>
                <w:szCs w:val="21"/>
              </w:rPr>
              <w:t>审结</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19C7D005">
            <w:pPr>
              <w:adjustRightInd w:val="0"/>
              <w:snapToGrid w:val="0"/>
              <w:spacing w:line="280" w:lineRule="exact"/>
              <w:jc w:val="center"/>
              <w:rPr>
                <w:rFonts w:hint="default" w:ascii="Times New Roman" w:hAnsi="Times New Roman" w:eastAsia="方正黑体_GBK" w:cs="Times New Roman"/>
                <w:color w:val="000000"/>
                <w:kern w:val="0"/>
                <w:szCs w:val="21"/>
              </w:rPr>
            </w:pPr>
            <w:r>
              <w:rPr>
                <w:rFonts w:hint="default" w:ascii="Times New Roman" w:hAnsi="Times New Roman" w:eastAsia="方正黑体_GBK" w:cs="Times New Roman"/>
                <w:color w:val="000000"/>
                <w:kern w:val="0"/>
                <w:szCs w:val="21"/>
              </w:rPr>
              <w:t>总计</w:t>
            </w:r>
          </w:p>
        </w:tc>
      </w:tr>
      <w:tr w14:paraId="3BF9CA00">
        <w:tblPrEx>
          <w:tblCellMar>
            <w:top w:w="28" w:type="dxa"/>
            <w:left w:w="28" w:type="dxa"/>
            <w:bottom w:w="28" w:type="dxa"/>
            <w:right w:w="28" w:type="dxa"/>
          </w:tblCellMar>
        </w:tblPrEx>
        <w:trPr>
          <w:trHeight w:val="397" w:hRule="atLeast"/>
          <w:jc w:val="center"/>
        </w:trPr>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441B0EB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2EC5A161">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5F88AB04">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08BAA010">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0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320013C1">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0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2031677F">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0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3645EB75">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356F568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10B71F22">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42E01A67">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eastAsia" w:ascii="Times New Roman" w:hAnsi="Times New Roman" w:eastAsia="方正书宋_GBK" w:cs="Times New Roman"/>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4D86125D">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36A0780A">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7792A950">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038BB289">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14:paraId="7673675B">
            <w:pPr>
              <w:adjustRightInd w:val="0"/>
              <w:snapToGrid w:val="0"/>
              <w:spacing w:line="280" w:lineRule="exact"/>
              <w:jc w:val="center"/>
              <w:rPr>
                <w:rFonts w:hint="default" w:ascii="Times New Roman" w:hAnsi="Times New Roman" w:eastAsia="方正书宋_GBK" w:cs="Times New Roman"/>
                <w:color w:val="000000"/>
                <w:kern w:val="0"/>
                <w:szCs w:val="21"/>
                <w:lang w:val="en-US" w:eastAsia="zh-CN"/>
              </w:rPr>
            </w:pPr>
            <w:r>
              <w:rPr>
                <w:rFonts w:hint="default" w:ascii="Times New Roman" w:hAnsi="Times New Roman" w:eastAsia="方正书宋_GBK" w:cs="Times New Roman"/>
                <w:color w:val="000000"/>
                <w:kern w:val="0"/>
                <w:szCs w:val="21"/>
                <w:lang w:val="en-US" w:eastAsia="zh-CN"/>
              </w:rPr>
              <w:t>0</w:t>
            </w:r>
          </w:p>
        </w:tc>
      </w:tr>
    </w:tbl>
    <w:p w14:paraId="5A1979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五、存在的主要问题及改进情况</w:t>
      </w:r>
    </w:p>
    <w:p w14:paraId="793D8D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我市</w:t>
      </w:r>
      <w:r>
        <w:rPr>
          <w:rFonts w:hint="default" w:ascii="Times New Roman" w:hAnsi="Times New Roman" w:eastAsia="仿宋_GB2312" w:cs="Times New Roman"/>
          <w:sz w:val="32"/>
          <w:szCs w:val="32"/>
        </w:rPr>
        <w:t>政务公开工作整体水平持续提升，基层政务公开标准化规范化建设也稳步推进，但仍然存在短板和不足。一是政策解读质量和形式还需提升、丰富。部分政府解读内容相对简单。二是</w:t>
      </w:r>
      <w:r>
        <w:rPr>
          <w:rFonts w:hint="default" w:ascii="Times New Roman" w:hAnsi="Times New Roman" w:eastAsia="仿宋_GB2312" w:cs="Times New Roman"/>
          <w:sz w:val="32"/>
          <w:szCs w:val="32"/>
          <w:lang w:val="en-US" w:eastAsia="zh-CN"/>
        </w:rPr>
        <w:t>日常监管</w:t>
      </w:r>
      <w:r>
        <w:rPr>
          <w:rFonts w:hint="default" w:ascii="Times New Roman" w:hAnsi="Times New Roman" w:eastAsia="仿宋_GB2312" w:cs="Times New Roman"/>
          <w:sz w:val="32"/>
          <w:szCs w:val="32"/>
        </w:rPr>
        <w:t>仍需加大。</w:t>
      </w:r>
      <w:r>
        <w:rPr>
          <w:rFonts w:hint="eastAsia"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存在自查整改落实不到位，新媒体管理人员变动频繁、业务生疏等</w:t>
      </w:r>
      <w:r>
        <w:rPr>
          <w:rFonts w:hint="default" w:ascii="Times New Roman" w:hAnsi="Times New Roman" w:eastAsia="仿宋_GB2312" w:cs="Times New Roman"/>
          <w:sz w:val="32"/>
          <w:szCs w:val="32"/>
          <w:lang w:val="en-US" w:eastAsia="zh-CN"/>
        </w:rPr>
        <w:t>问题</w:t>
      </w:r>
      <w:r>
        <w:rPr>
          <w:rFonts w:hint="default" w:ascii="Times New Roman" w:hAnsi="Times New Roman" w:eastAsia="仿宋_GB2312" w:cs="Times New Roman"/>
          <w:sz w:val="32"/>
          <w:szCs w:val="32"/>
        </w:rPr>
        <w:t xml:space="preserve">。 </w:t>
      </w:r>
    </w:p>
    <w:p w14:paraId="532953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改进措施：一是推动政策解读提质增效，根据政策文件内容，有针对性、有重点开展解读，切实提高解读质量。</w:t>
      </w: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rPr>
        <w:t>丰富政策解读形式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解读角度，通过多种形式解读，使群众能做到知晓政策、弄懂政策、享受政策。二是严格对照网站建设和新媒体管理有关规定，</w:t>
      </w:r>
      <w:r>
        <w:rPr>
          <w:rFonts w:hint="default" w:ascii="Times New Roman" w:hAnsi="Times New Roman" w:eastAsia="仿宋_GB2312" w:cs="Times New Roman"/>
          <w:sz w:val="32"/>
          <w:szCs w:val="32"/>
          <w:lang w:val="en-US" w:eastAsia="zh-CN"/>
        </w:rPr>
        <w:t>组织各部门定期</w:t>
      </w:r>
      <w:r>
        <w:rPr>
          <w:rFonts w:hint="default" w:ascii="Times New Roman" w:hAnsi="Times New Roman" w:eastAsia="仿宋_GB2312" w:cs="Times New Roman"/>
          <w:b w:val="0"/>
          <w:bCs w:val="0"/>
          <w:kern w:val="2"/>
          <w:sz w:val="32"/>
          <w:szCs w:val="32"/>
          <w:lang w:val="en-US" w:eastAsia="zh-CN" w:bidi="ar-SA"/>
        </w:rPr>
        <w:t>开展日常监测、自查自纠，做到问题早发现、</w:t>
      </w:r>
      <w:r>
        <w:rPr>
          <w:rFonts w:hint="eastAsia" w:ascii="Times New Roman" w:hAnsi="Times New Roman" w:eastAsia="仿宋_GB2312" w:cs="Times New Roman"/>
          <w:b w:val="0"/>
          <w:bCs w:val="0"/>
          <w:kern w:val="2"/>
          <w:sz w:val="32"/>
          <w:szCs w:val="32"/>
          <w:lang w:val="en-US" w:eastAsia="zh-CN" w:bidi="ar-SA"/>
        </w:rPr>
        <w:t>早</w:t>
      </w:r>
      <w:bookmarkStart w:id="0" w:name="_GoBack"/>
      <w:bookmarkEnd w:id="0"/>
      <w:r>
        <w:rPr>
          <w:rFonts w:hint="default" w:ascii="Times New Roman" w:hAnsi="Times New Roman" w:eastAsia="仿宋_GB2312" w:cs="Times New Roman"/>
          <w:b w:val="0"/>
          <w:bCs w:val="0"/>
          <w:kern w:val="2"/>
          <w:sz w:val="32"/>
          <w:szCs w:val="32"/>
          <w:lang w:val="en-US" w:eastAsia="zh-CN" w:bidi="ar-SA"/>
        </w:rPr>
        <w:t>整改。同时，</w:t>
      </w:r>
      <w:r>
        <w:rPr>
          <w:rFonts w:hint="default" w:ascii="Times New Roman" w:hAnsi="Times New Roman" w:eastAsia="仿宋_GB2312" w:cs="Times New Roman"/>
          <w:b w:val="0"/>
          <w:bCs w:val="0"/>
          <w:color w:val="auto"/>
          <w:kern w:val="2"/>
          <w:sz w:val="32"/>
          <w:szCs w:val="32"/>
          <w:lang w:val="en-US" w:eastAsia="zh-CN" w:bidi="ar-SA"/>
        </w:rPr>
        <w:t>加大培训指导力度。以《中华人民共和国政府信息公开条例》为核心，持续强化对政务公开工作人员的理论和业务培训，提高各部门工作人员公开意识及服务水平，推动政务公开工作健康有序发展。</w:t>
      </w:r>
    </w:p>
    <w:p w14:paraId="28E07E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六、其他需要报告的事项</w:t>
      </w:r>
    </w:p>
    <w:p w14:paraId="20B6D5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本年度全市未产生依申请公开收费情况。无其他需要报告事项。</w:t>
      </w:r>
    </w:p>
    <w:p w14:paraId="4CD540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7B01CC8">
      <w:pPr>
        <w:keepNext w:val="0"/>
        <w:keepLines w:val="0"/>
        <w:pageBreakBefore w:val="0"/>
        <w:kinsoku/>
        <w:wordWrap/>
        <w:overflowPunct/>
        <w:topLinePunct w:val="0"/>
        <w:autoSpaceDE/>
        <w:autoSpaceDN/>
        <w:bidi w:val="0"/>
        <w:adjustRightInd/>
        <w:snapToGrid/>
        <w:spacing w:line="600" w:lineRule="exact"/>
        <w:ind w:firstLine="627" w:firstLineChars="196"/>
        <w:rPr>
          <w:rFonts w:hint="default" w:ascii="Times New Roman" w:hAnsi="Times New Roman" w:eastAsia="仿宋_GB2312" w:cs="Times New Roman"/>
          <w:sz w:val="32"/>
          <w:szCs w:val="32"/>
          <w:lang w:val="en-US" w:eastAsia="zh-CN"/>
        </w:rPr>
      </w:pPr>
    </w:p>
    <w:p w14:paraId="2EE2A19F">
      <w:pPr>
        <w:keepNext w:val="0"/>
        <w:keepLines w:val="0"/>
        <w:pageBreakBefore w:val="0"/>
        <w:kinsoku/>
        <w:wordWrap/>
        <w:overflowPunct/>
        <w:topLinePunct w:val="0"/>
        <w:autoSpaceDE/>
        <w:autoSpaceDN/>
        <w:bidi w:val="0"/>
        <w:adjustRightInd/>
        <w:snapToGrid/>
        <w:spacing w:line="600" w:lineRule="exact"/>
        <w:ind w:left="5121" w:leftChars="304" w:hanging="4483" w:hangingChars="1401"/>
        <w:jc w:val="center"/>
        <w:rPr>
          <w:rFonts w:hint="default" w:ascii="Times New Roman" w:hAnsi="Times New Roman" w:cs="Times New Roman"/>
        </w:rPr>
      </w:pPr>
      <w:r>
        <w:rPr>
          <w:rFonts w:hint="default" w:ascii="Times New Roman" w:hAnsi="Times New Roman" w:eastAsia="仿宋_GB2312" w:cs="Times New Roman"/>
          <w:sz w:val="32"/>
          <w:szCs w:val="32"/>
          <w:lang w:val="en-US" w:eastAsia="zh-CN"/>
        </w:rPr>
        <w:t xml:space="preserve">                    </w:t>
      </w:r>
    </w:p>
    <w:p w14:paraId="4BA76628"/>
    <w:sectPr>
      <w:footerReference r:id="rId3" w:type="default"/>
      <w:pgSz w:w="11906" w:h="16838"/>
      <w:pgMar w:top="1587" w:right="1474"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069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CEB00">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ACEB00">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MjczNWIxY2RiYzJmYzc1NzFiNDE3NjQwMjYzYjgifQ=="/>
  </w:docVars>
  <w:rsids>
    <w:rsidRoot w:val="07186859"/>
    <w:rsid w:val="00307A95"/>
    <w:rsid w:val="005A2D64"/>
    <w:rsid w:val="01A00C4B"/>
    <w:rsid w:val="01DC6A75"/>
    <w:rsid w:val="02405F8A"/>
    <w:rsid w:val="034A5312"/>
    <w:rsid w:val="0539563E"/>
    <w:rsid w:val="07186859"/>
    <w:rsid w:val="07465DF0"/>
    <w:rsid w:val="07DF2EF8"/>
    <w:rsid w:val="0841748B"/>
    <w:rsid w:val="087B7D1C"/>
    <w:rsid w:val="097053A7"/>
    <w:rsid w:val="0AF53DB5"/>
    <w:rsid w:val="0B786794"/>
    <w:rsid w:val="0C350EFC"/>
    <w:rsid w:val="0EAF071F"/>
    <w:rsid w:val="0ED713C8"/>
    <w:rsid w:val="0FDF6DE2"/>
    <w:rsid w:val="1034712E"/>
    <w:rsid w:val="116752E1"/>
    <w:rsid w:val="11EB7CC0"/>
    <w:rsid w:val="1261212C"/>
    <w:rsid w:val="12CA5B28"/>
    <w:rsid w:val="134200BC"/>
    <w:rsid w:val="13B72C2E"/>
    <w:rsid w:val="13E0137B"/>
    <w:rsid w:val="146E6986"/>
    <w:rsid w:val="15E37F2A"/>
    <w:rsid w:val="16922F9B"/>
    <w:rsid w:val="18552337"/>
    <w:rsid w:val="1A91613F"/>
    <w:rsid w:val="1D0205B4"/>
    <w:rsid w:val="1DE303E5"/>
    <w:rsid w:val="1F114ADE"/>
    <w:rsid w:val="1F7A312D"/>
    <w:rsid w:val="20784E15"/>
    <w:rsid w:val="20A30886"/>
    <w:rsid w:val="21C36564"/>
    <w:rsid w:val="22DE117B"/>
    <w:rsid w:val="2A336250"/>
    <w:rsid w:val="2B18314B"/>
    <w:rsid w:val="2C3F0EDD"/>
    <w:rsid w:val="2CE37ABA"/>
    <w:rsid w:val="2D871EF6"/>
    <w:rsid w:val="2EB23BE8"/>
    <w:rsid w:val="2EE85B84"/>
    <w:rsid w:val="2F0B32F8"/>
    <w:rsid w:val="2F1E302B"/>
    <w:rsid w:val="309D7BF1"/>
    <w:rsid w:val="31251776"/>
    <w:rsid w:val="318C6C49"/>
    <w:rsid w:val="346F7D27"/>
    <w:rsid w:val="37E568C4"/>
    <w:rsid w:val="38455ACD"/>
    <w:rsid w:val="3B20637D"/>
    <w:rsid w:val="3BD27800"/>
    <w:rsid w:val="3C447C4D"/>
    <w:rsid w:val="3D6A7D83"/>
    <w:rsid w:val="3D9A2417"/>
    <w:rsid w:val="3DC41242"/>
    <w:rsid w:val="3FE9615F"/>
    <w:rsid w:val="407C5E04"/>
    <w:rsid w:val="414A5F02"/>
    <w:rsid w:val="41B8730F"/>
    <w:rsid w:val="42530DE6"/>
    <w:rsid w:val="42703746"/>
    <w:rsid w:val="42F51E9D"/>
    <w:rsid w:val="44226CC2"/>
    <w:rsid w:val="455235D7"/>
    <w:rsid w:val="45943BEF"/>
    <w:rsid w:val="468E0A59"/>
    <w:rsid w:val="469B2D5C"/>
    <w:rsid w:val="47242D51"/>
    <w:rsid w:val="491C09FC"/>
    <w:rsid w:val="49DA21DC"/>
    <w:rsid w:val="4C6A7458"/>
    <w:rsid w:val="4E240B6C"/>
    <w:rsid w:val="4E6D3230"/>
    <w:rsid w:val="50041972"/>
    <w:rsid w:val="506F328F"/>
    <w:rsid w:val="50CC06E1"/>
    <w:rsid w:val="50D17AA6"/>
    <w:rsid w:val="51422751"/>
    <w:rsid w:val="51E11F6A"/>
    <w:rsid w:val="52246999"/>
    <w:rsid w:val="522E5CA2"/>
    <w:rsid w:val="52650E1C"/>
    <w:rsid w:val="52F33252"/>
    <w:rsid w:val="532F31A9"/>
    <w:rsid w:val="551C775D"/>
    <w:rsid w:val="570D04C7"/>
    <w:rsid w:val="577D7163"/>
    <w:rsid w:val="5818698A"/>
    <w:rsid w:val="5939268C"/>
    <w:rsid w:val="5B740512"/>
    <w:rsid w:val="5CCE0307"/>
    <w:rsid w:val="5DBB3FB7"/>
    <w:rsid w:val="5E5F0B1C"/>
    <w:rsid w:val="5EAA7B88"/>
    <w:rsid w:val="60341DFF"/>
    <w:rsid w:val="65D06126"/>
    <w:rsid w:val="6609788A"/>
    <w:rsid w:val="678216A2"/>
    <w:rsid w:val="682301B9"/>
    <w:rsid w:val="696C43B8"/>
    <w:rsid w:val="6B657311"/>
    <w:rsid w:val="6BB42046"/>
    <w:rsid w:val="6BC32993"/>
    <w:rsid w:val="6BF16DF6"/>
    <w:rsid w:val="6C4F2AAB"/>
    <w:rsid w:val="6CF748E0"/>
    <w:rsid w:val="6D0D71E6"/>
    <w:rsid w:val="6D1E0B1E"/>
    <w:rsid w:val="6D505D9E"/>
    <w:rsid w:val="6D5D2788"/>
    <w:rsid w:val="6DAE42DF"/>
    <w:rsid w:val="6E900B48"/>
    <w:rsid w:val="6F101C89"/>
    <w:rsid w:val="6F26325B"/>
    <w:rsid w:val="6F4B222F"/>
    <w:rsid w:val="70587444"/>
    <w:rsid w:val="72BA43E6"/>
    <w:rsid w:val="731520CC"/>
    <w:rsid w:val="738F5872"/>
    <w:rsid w:val="74277859"/>
    <w:rsid w:val="78DE6954"/>
    <w:rsid w:val="795D5ACB"/>
    <w:rsid w:val="798614EA"/>
    <w:rsid w:val="7A0128FA"/>
    <w:rsid w:val="7C3C5E6C"/>
    <w:rsid w:val="7C467C63"/>
    <w:rsid w:val="7D2F59D0"/>
    <w:rsid w:val="7DA737B9"/>
    <w:rsid w:val="7F9164CE"/>
    <w:rsid w:val="7FC71EF0"/>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paragraph" w:customStyle="1" w:styleId="7">
    <w:name w:val="No Spacing1"/>
    <w:autoRedefine/>
    <w:qFormat/>
    <w:uiPriority w:val="99"/>
    <w:pPr>
      <w:widowControl w:val="0"/>
      <w:jc w:val="both"/>
    </w:pPr>
    <w:rPr>
      <w:rFonts w:ascii="Calibri" w:hAnsi="Calibri"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2316</Words>
  <Characters>2389</Characters>
  <Lines>0</Lines>
  <Paragraphs>0</Paragraphs>
  <TotalTime>16</TotalTime>
  <ScaleCrop>false</ScaleCrop>
  <LinksUpToDate>false</LinksUpToDate>
  <CharactersWithSpaces>2410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2023-02-10T03:29:00Z</dcterms:created>
  <dc:creator>Top</dc:creator>
  <cp:lastModifiedBy> 艾大宝 </cp:lastModifiedBy>
  <cp:lastPrinted>2025-01-24T06:38:00Z</cp:lastPrinted>
  <dcterms:modified xsi:type="dcterms:W3CDTF">2025-02-20T03:27:30Z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02AB81611C8743CC91286DFA7DEBBE09_13</vt:lpwstr>
  </property>
  <property fmtid="{D5CDD505-2E9C-101B-9397-08002B2CF9AE}" pid="4" name="KSOTemplateDocerSaveRecord">
    <vt:lpwstr>eyJoZGlkIjoiMDQ0MjczNWIxY2RiYzJmYzc1NzFiNDE3NjQwMjYzYjgiLCJ1c2VySWQiOiI5Mzg3MDk5MzEifQ==</vt:lpwstr>
  </property>
</Properties>
</file>