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同江镇胜利村产品加工展示中心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和粘水稻烘干塔项目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实施公示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2021年同江镇胜利村产品加工展示中心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和粘水稻烘干塔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项目已经全部完成招标工作，为保证项目管理的公开、透明，广泛接受群众监督，现将2021年涉农统筹整合资金基础设施项目实施地点、项目名称、建设内容、中标单位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、使用单位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及中标金额等内容进行公示，公示时间为长期。公示期间欢迎社会监督。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both"/>
        <w:textAlignment w:val="auto"/>
        <w:rPr>
          <w:rFonts w:hint="default" w:ascii="Helvetica" w:hAnsi="Helvetica" w:eastAsia="仿宋" w:cs="Helvetic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监督举报电话：12317或0454-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8979070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both"/>
        <w:textAlignment w:val="auto"/>
        <w:rPr>
          <w:rFonts w:hint="eastAsia" w:ascii="Helvetica" w:hAnsi="Helvetica" w:eastAsia="仿宋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张孝山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受理单位：同江市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同江镇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人民政府 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通讯地址：同江市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同江镇人民政府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使用单位：同江市胜旺农业发展有限公司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00" w:lineRule="atLeast"/>
        <w:ind w:left="0" w:right="0"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同江市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镇人民政府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500" w:lineRule="atLeast"/>
        <w:ind w:left="0" w:right="0" w:firstLine="640"/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                   2021年9月18日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jEyNDkzNWMxZmQ2MTgxYTljOTNmMGY2YjAyMGQifQ=="/>
  </w:docVars>
  <w:rsids>
    <w:rsidRoot w:val="29F441C6"/>
    <w:rsid w:val="01457570"/>
    <w:rsid w:val="035E05CA"/>
    <w:rsid w:val="0DC3502F"/>
    <w:rsid w:val="0EED1462"/>
    <w:rsid w:val="136E07EA"/>
    <w:rsid w:val="18B0756E"/>
    <w:rsid w:val="29F441C6"/>
    <w:rsid w:val="42746DA1"/>
    <w:rsid w:val="450A5BC3"/>
    <w:rsid w:val="70D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266</Characters>
  <Lines>0</Lines>
  <Paragraphs>0</Paragraphs>
  <TotalTime>21</TotalTime>
  <ScaleCrop>false</ScaleCrop>
  <LinksUpToDate>false</LinksUpToDate>
  <CharactersWithSpaces>339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2022-08-17T06:04:00Z</dcterms:created>
  <dc:creator>杨洋</dc:creator>
  <cp:lastModifiedBy>112的大长腿</cp:lastModifiedBy>
  <dcterms:modified xsi:type="dcterms:W3CDTF">2022-08-17T08:16:22Z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481E9C356C4F4D638A03D225456B1EF0</vt:lpwstr>
  </property>
</Properties>
</file>