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afterAutospacing="0" w:line="5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2022年度国家后评估反馈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衔接资金项目问题整改培训提纲</w:t>
      </w:r>
    </w:p>
    <w:p>
      <w:pPr>
        <w:keepNext w:val="0"/>
        <w:keepLines w:val="0"/>
        <w:pageBreakBefore w:val="0"/>
        <w:widowControl w:val="0"/>
        <w:kinsoku/>
        <w:wordWrap/>
        <w:overflowPunct/>
        <w:topLinePunct w:val="0"/>
        <w:autoSpaceDE/>
        <w:autoSpaceDN/>
        <w:bidi w:val="0"/>
        <w:adjustRightInd/>
        <w:spacing w:beforeAutospacing="0" w:afterAutospacing="0" w:line="56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3"/>
        <w:keepNext w:val="0"/>
        <w:keepLines w:val="0"/>
        <w:pageBreakBefore w:val="0"/>
        <w:widowControl w:val="0"/>
        <w:kinsoku/>
        <w:wordWrap/>
        <w:overflowPunct/>
        <w:topLinePunct w:val="0"/>
        <w:autoSpaceDE/>
        <w:autoSpaceDN/>
        <w:bidi w:val="0"/>
        <w:spacing w:beforeAutospacing="0" w:afterAutospacing="0" w:line="560" w:lineRule="exact"/>
        <w:ind w:firstLine="642"/>
        <w:jc w:val="both"/>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近日，财政部、农业农村部、国家发展改革委、国家民委、国家林草局印发《关于2022年衔接推进乡村振兴补助资金绩效评价结果的通报》（财农〔2023〕28号），我省再次获得“A（优秀）”等次，位列综合评价和分任务评价均为“A”的13个省之一，连续五年获得资金绩效评价“A”等次，累计获得奖励资金7.8亿元。在5月22日召开的省政</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府第11次常务会议上，梁惠玲省长对此予以充分肯定。</w:t>
      </w:r>
    </w:p>
    <w:p>
      <w:pPr>
        <w:keepNext w:val="0"/>
        <w:keepLines w:val="0"/>
        <w:pageBreakBefore w:val="0"/>
        <w:widowControl w:val="0"/>
        <w:kinsoku/>
        <w:wordWrap/>
        <w:overflowPunct/>
        <w:topLinePunct w:val="0"/>
        <w:autoSpaceDE/>
        <w:bidi w:val="0"/>
        <w:spacing w:line="560" w:lineRule="exact"/>
        <w:ind w:firstLine="640" w:firstLineChars="200"/>
        <w:jc w:val="both"/>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全省乡村振兴系统的艰苦努力和不懈付出以及省直相关厅局的大力支持与配合下，我们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取得了资金绩效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五连冠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的骄人成绩</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，值得称赞。但这不代表我省衔接资金使用管理就一点问题没有，相反，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问题是客观存在的，有的问题十分普遍，有的还十分突出</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。下面，就2022年度国家后评估反馈我省衔接资金项目问题整改工作，和大家作以交流。</w:t>
      </w:r>
    </w:p>
    <w:p>
      <w:pPr>
        <w:keepNext w:val="0"/>
        <w:keepLines w:val="0"/>
        <w:pageBreakBefore w:val="0"/>
        <w:widowControl w:val="0"/>
        <w:kinsoku/>
        <w:wordWrap/>
        <w:overflowPunct/>
        <w:topLinePunct w:val="0"/>
        <w:autoSpaceDE/>
        <w:bidi w:val="0"/>
        <w:spacing w:line="560" w:lineRule="exact"/>
        <w:ind w:firstLine="640" w:firstLineChars="200"/>
        <w:jc w:val="both"/>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一、存在的问题</w:t>
      </w:r>
    </w:p>
    <w:p>
      <w:pPr>
        <w:keepNext w:val="0"/>
        <w:keepLines w:val="0"/>
        <w:pageBreakBefore w:val="0"/>
        <w:widowControl w:val="0"/>
        <w:kinsoku/>
        <w:wordWrap/>
        <w:overflowPunct/>
        <w:topLinePunct w:val="0"/>
        <w:autoSpaceDE/>
        <w:bidi w:val="0"/>
        <w:spacing w:line="560" w:lineRule="exact"/>
        <w:ind w:firstLine="640" w:firstLineChars="200"/>
        <w:jc w:val="both"/>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要整改问题，首先得准确地认识和认领问题。我省衔接资金项目问题主要来源于2022年度衔接资金绩效评价反馈和第三方评估，主要包括我省具体问题和其他省共性问题。</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t>（一）我省存在的问题。</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衔接资金绩效评价点对点反馈我省存在3个方面6个问题，涉及农业农村、乡村振兴、林草、民宗、发改、财政6个部门和</w:t>
      </w:r>
      <w:r>
        <w:rPr>
          <w:rFonts w:hint="default" w:ascii="Times New Roman" w:hAnsi="Times New Roman" w:eastAsia="仿宋_GB2312" w:cs="Times New Roman"/>
          <w:b w:val="0"/>
          <w:bCs/>
          <w:sz w:val="32"/>
          <w:szCs w:val="32"/>
          <w:lang w:val="en-US" w:eastAsia="zh-CN"/>
        </w:rPr>
        <w:t>桦南、汤原、鸡东、勃利、明水5个县。具体为：</w:t>
      </w:r>
    </w:p>
    <w:p>
      <w:pPr>
        <w:keepNext w:val="0"/>
        <w:keepLines w:val="0"/>
        <w:pageBreakBefore w:val="0"/>
        <w:widowControl w:val="0"/>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sz w:val="32"/>
          <w:szCs w:val="32"/>
          <w:lang w:val="en-US" w:eastAsia="zh-CN"/>
        </w:rPr>
        <w:t>一是项目实施管理不规范方面3个问题：</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1.项目前期论证不到位。主要是</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勃利县</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2020年投入中央财政专项扶贫资金（国有贫困林场方向）178万元，支持福兴林场实施灵芝生产建设顼目，产品销售渠道不宽，库存量大。2.个别项目实施缓慢。</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明水县</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农业农村局2019-2020年投入统筹整合资金7790万元，实施生猪养殖体系项目，2020年10月因质量问题停建，截至2022年12月31日尚未开工建设。3.有些以工代赈项目管理不规范。①</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汤原县</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2022年实施的吉祥乡互助村基础设施建设等5个以工代赈项目均存在可研报告、项目概算表、竣工验收报告中未体现劳务报酬发放标准、额度问题。②</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桦南县</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2022年实施的柳毛河镇以工代赈建设项目存在合同关键要素不完整，未约定付款方式、质保期限和质保金条款，以及未公示劳务报酬发放情况的问题。</w:t>
      </w:r>
    </w:p>
    <w:p>
      <w:pPr>
        <w:keepNext w:val="0"/>
        <w:keepLines w:val="0"/>
        <w:pageBreakBefore w:val="0"/>
        <w:widowControl w:val="0"/>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b/>
          <w:bCs w:val="0"/>
          <w:sz w:val="32"/>
          <w:szCs w:val="32"/>
          <w:lang w:val="en-US" w:eastAsia="zh-CN"/>
        </w:rPr>
        <w:t>项目资金管理不规范2个问题。</w:t>
      </w:r>
      <w:r>
        <w:rPr>
          <w:rFonts w:hint="default" w:ascii="Times New Roman" w:hAnsi="Times New Roman" w:eastAsia="仿宋_GB2312" w:cs="Times New Roman"/>
          <w:b w:val="0"/>
          <w:bCs/>
          <w:sz w:val="32"/>
          <w:szCs w:val="32"/>
          <w:lang w:val="en-US" w:eastAsia="zh-CN"/>
        </w:rPr>
        <w:t>1.少数项目违反合同约定付款。 ①桦南县民族宗教事务局2022年投入中央财政衔接资金（少数民族发展任务）134.93万元，实施梨树乡永和村社会化农机具项目，合同约定验收合格后7个工作日内支付合同款，但2022年9月设备尚未验收，己支付设备款82.5万元。桦南县2021年农村饮水工程维修养护工程、2022年双龙林场产业提升及配套设施建设等项目、明水县2019-2020年生猪养殖体系项目，均存类似问题。2.有的项目超范围使用资金。鸡东县乡村振兴局2021年投入省级财政衔接资金（巩固拓展脱贫攻坚成果和乡村振兴任务）160万元，实施的鸡东镇至银峰加油站改建工程项目，为城市道路次干道。</w:t>
      </w:r>
    </w:p>
    <w:p>
      <w:pPr>
        <w:keepNext w:val="0"/>
        <w:keepLines w:val="0"/>
        <w:pageBreakBefore w:val="0"/>
        <w:widowControl w:val="0"/>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三是项目库建设及绩效管理、公告公示落实不到位。</w:t>
      </w:r>
      <w:r>
        <w:rPr>
          <w:rFonts w:hint="default" w:ascii="Times New Roman" w:hAnsi="Times New Roman" w:eastAsia="仿宋_GB2312" w:cs="Times New Roman"/>
          <w:b w:val="0"/>
          <w:bCs/>
          <w:sz w:val="32"/>
          <w:szCs w:val="32"/>
          <w:lang w:val="en-US" w:eastAsia="zh-CN"/>
        </w:rPr>
        <w:t>存在有的项目入库程序不规范、入库内容不完整、入库项目前期论证不充分、实施项目未从县级项目库选取、绩效目标未审核及批复等问题。比如抽查的38个项目中，有20个项目入库程序不规范，8个项目入库内容不完整，6个项目绩效目标未经审核或批复，与实际情况不符，4个项目未进行绩效自评或自评与实际不符，35个项目未按要求对乡级或村级年度资金项目计划安排或完成情况进行公告公示。</w:t>
      </w:r>
    </w:p>
    <w:p>
      <w:pPr>
        <w:pStyle w:val="3"/>
        <w:keepNext w:val="0"/>
        <w:keepLines w:val="0"/>
        <w:pageBreakBefore w:val="0"/>
        <w:widowControl w:val="0"/>
        <w:kinsoku/>
        <w:wordWrap/>
        <w:overflowPunct/>
        <w:topLinePunct w:val="0"/>
        <w:autoSpaceDE/>
        <w:autoSpaceDN/>
        <w:bidi w:val="0"/>
        <w:spacing w:beforeAutospacing="0" w:afterAutospacing="0" w:line="560" w:lineRule="exact"/>
        <w:ind w:firstLine="642"/>
        <w:jc w:val="both"/>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t>（二）其他省的共性问题。</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有的项目论证不充分导致效果不理想，有的项目联农带农机制不健全或落实不到位，带动效果不够明显；有的地方项目实施管理不规范，存在建设进度慢、验收不及时、政策要求落实不到位等问题；有的地方资金使用管理不规范，存在超范围使用资金、以拨代支、提前支付工程款等问题；有的项目资产后续管理不到位，存在疏于管护、低效闲置或损失风险。以及第三方评估反馈的资金入股企业，没有优先形成固定资产，未明确村级监管责任。</w:t>
      </w: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二、落实整改</w:t>
      </w: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（一）明确问题整改主体。</w:t>
      </w:r>
      <w:r>
        <w:rPr>
          <w:rFonts w:hint="default" w:ascii="Times New Roman" w:hAnsi="Times New Roman" w:eastAsia="仿宋_GB2312" w:cs="Times New Roman"/>
          <w:b/>
          <w:bCs w:val="0"/>
          <w:sz w:val="32"/>
          <w:szCs w:val="32"/>
          <w:lang w:val="en-US" w:eastAsia="zh-CN"/>
        </w:rPr>
        <w:t>一是我省存在的问题</w:t>
      </w:r>
      <w:r>
        <w:rPr>
          <w:rFonts w:hint="default" w:ascii="Times New Roman" w:hAnsi="Times New Roman" w:eastAsia="仿宋_GB2312" w:cs="Times New Roman"/>
          <w:b w:val="0"/>
          <w:bCs/>
          <w:sz w:val="32"/>
          <w:szCs w:val="32"/>
          <w:lang w:val="en-US" w:eastAsia="zh-CN"/>
        </w:rPr>
        <w:t>由相关县具体负责整改，有关市和省直相关部门负责整改督办，其他市（地）、县（市、区）对照举一反三整改</w:t>
      </w:r>
      <w:r>
        <w:rPr>
          <w:rFonts w:hint="default" w:ascii="Times New Roman" w:hAnsi="Times New Roman" w:eastAsia="仿宋_GB2312" w:cs="Times New Roman"/>
          <w:b/>
          <w:bCs w:val="0"/>
          <w:sz w:val="32"/>
          <w:szCs w:val="32"/>
          <w:lang w:val="en-US" w:eastAsia="zh-CN"/>
        </w:rPr>
        <w:t>。其中，项目实施管理不规范方面3个问题</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由勃利县、明水县、汤原县、桦南县具体负责整改；七台河市、绥化市、佳木斯市负责跟踪督办整改，省林草局、省农业农村厅、省发改委</w:t>
      </w:r>
      <w:r>
        <w:rPr>
          <w:rFonts w:hint="default" w:ascii="Times New Roman" w:hAnsi="Times New Roman" w:eastAsia="仿宋_GB2312" w:cs="Times New Roman"/>
          <w:b w:val="0"/>
          <w:bCs/>
          <w:sz w:val="32"/>
          <w:szCs w:val="32"/>
          <w:lang w:val="en-US" w:eastAsia="zh-CN"/>
        </w:rPr>
        <w:t>按职责分工督办整改</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；其他市（地）、县（市、区）负责举一反三排查整改。</w:t>
      </w:r>
      <w:r>
        <w:rPr>
          <w:rFonts w:hint="default" w:ascii="Times New Roman" w:hAnsi="Times New Roman" w:eastAsia="仿宋_GB2312" w:cs="Times New Roman"/>
          <w:b/>
          <w:bCs w:val="0"/>
          <w:sz w:val="32"/>
          <w:szCs w:val="32"/>
          <w:lang w:val="en-US" w:eastAsia="zh-CN"/>
        </w:rPr>
        <w:t>项目资金管理不规范2个问题</w:t>
      </w:r>
      <w:r>
        <w:rPr>
          <w:rFonts w:hint="default" w:ascii="Times New Roman" w:hAnsi="Times New Roman" w:eastAsia="仿宋_GB2312" w:cs="Times New Roman"/>
          <w:b w:val="0"/>
          <w:bCs/>
          <w:sz w:val="32"/>
          <w:szCs w:val="32"/>
          <w:lang w:val="en-US" w:eastAsia="zh-CN"/>
        </w:rPr>
        <w:t>由桦南县、明水县、鸡东县具体负责整改；佳木斯市、绥化市、鸡西市负责跟踪督办整改，省民宗委、省发改委、省农业农村厅、省乡村振兴局、省财政厅按职责分工督办整改；</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其他市（地）、县（市、区）负责举一反三排查整改。</w:t>
      </w:r>
      <w:r>
        <w:rPr>
          <w:rFonts w:hint="default" w:ascii="Times New Roman" w:hAnsi="Times New Roman" w:eastAsia="仿宋_GB2312" w:cs="Times New Roman"/>
          <w:b/>
          <w:bCs w:val="0"/>
          <w:sz w:val="32"/>
          <w:szCs w:val="32"/>
          <w:lang w:val="en-US" w:eastAsia="zh-CN"/>
        </w:rPr>
        <w:t>项目库建设及绩效管理、公告公示落实不到位问题</w:t>
      </w:r>
      <w:r>
        <w:rPr>
          <w:rFonts w:hint="default" w:ascii="Times New Roman" w:hAnsi="Times New Roman" w:eastAsia="仿宋_GB2312" w:cs="Times New Roman"/>
          <w:b w:val="0"/>
          <w:bCs/>
          <w:sz w:val="32"/>
          <w:szCs w:val="32"/>
          <w:lang w:val="en-US" w:eastAsia="zh-CN"/>
        </w:rPr>
        <w:t>由桦南县、汤原县、鸡东县、勃利县、明水县具体负责整改；佳木斯市、鸡西市、七台河市、绥化市负责跟踪督办整改，省农业农村厅、省乡村振兴局、省民宗委、省发改委、省林草局、省财政厅按职责分工督办整改；</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其他市（地）、县（市、区）负责举一反三排查整改。</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二是其他省</w:t>
      </w:r>
      <w:r>
        <w:rPr>
          <w:rFonts w:hint="eastAsia" w:ascii="Times New Roman" w:hAnsi="Times New Roman" w:eastAsia="仿宋_GB2312" w:cs="Times New Roman"/>
          <w:b/>
          <w:bCs w:val="0"/>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共性问题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由各</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县（市、区）负责举一反三排查整改，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市（地）</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sz w:val="32"/>
          <w:szCs w:val="32"/>
          <w:lang w:val="en-US" w:eastAsia="zh-CN"/>
        </w:rPr>
        <w:t>省农业农村厅、省乡村振兴局、省民宗委、省发改委、省林草局、省财政厅</w:t>
      </w:r>
      <w:r>
        <w:rPr>
          <w:rFonts w:hint="eastAsia" w:ascii="Times New Roman" w:hAnsi="Times New Roman" w:eastAsia="仿宋_GB2312" w:cs="Times New Roman"/>
          <w:b w:val="0"/>
          <w:bCs/>
          <w:sz w:val="32"/>
          <w:szCs w:val="32"/>
          <w:lang w:val="en-US" w:eastAsia="zh-CN"/>
        </w:rPr>
        <w:t>按职责</w:t>
      </w:r>
      <w:r>
        <w:rPr>
          <w:rFonts w:hint="default" w:ascii="Times New Roman" w:hAnsi="Times New Roman" w:eastAsia="仿宋_GB2312" w:cs="Times New Roman"/>
          <w:b w:val="0"/>
          <w:bCs/>
          <w:sz w:val="32"/>
          <w:szCs w:val="32"/>
          <w:lang w:val="en-US" w:eastAsia="zh-CN"/>
        </w:rPr>
        <w:t>负责跟踪督办</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bidi w:val="0"/>
        <w:spacing w:line="56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（二）做好点对点问题专项整改。</w:t>
      </w:r>
      <w:r>
        <w:rPr>
          <w:rFonts w:hint="default" w:ascii="Times New Roman" w:hAnsi="Times New Roman" w:eastAsia="仿宋_GB2312" w:cs="Times New Roman"/>
          <w:sz w:val="32"/>
          <w:szCs w:val="32"/>
          <w:lang w:val="en-US" w:eastAsia="zh-CN"/>
        </w:rPr>
        <w:t>针对国家反馈我省存在的具体问题，</w:t>
      </w:r>
      <w:r>
        <w:rPr>
          <w:rFonts w:hint="default" w:ascii="Times New Roman" w:hAnsi="Times New Roman" w:eastAsia="仿宋_GB2312" w:cs="Times New Roman"/>
          <w:sz w:val="32"/>
          <w:szCs w:val="32"/>
        </w:rPr>
        <w:t>各相关县要明确部门职责分工，</w:t>
      </w:r>
      <w:r>
        <w:rPr>
          <w:rFonts w:hint="default" w:ascii="Times New Roman" w:hAnsi="Times New Roman" w:eastAsia="仿宋_GB2312" w:cs="Times New Roman"/>
          <w:sz w:val="32"/>
          <w:szCs w:val="32"/>
          <w:lang w:val="en-US" w:eastAsia="zh-CN"/>
        </w:rPr>
        <w:t>落实整改主体，</w:t>
      </w:r>
      <w:r>
        <w:rPr>
          <w:rFonts w:hint="default" w:ascii="Times New Roman" w:hAnsi="Times New Roman" w:eastAsia="仿宋_GB2312" w:cs="Times New Roman"/>
          <w:sz w:val="32"/>
          <w:szCs w:val="32"/>
        </w:rPr>
        <w:t>细化整改措施，较真碰硬坚决把问题整改到位、整改彻底。</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一是落实县级整改主体责任</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实行</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一个问题、一个方案、一套</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专班</w:t>
      </w:r>
      <w:r>
        <w:rPr>
          <w:rFonts w:hint="default" w:ascii="Times New Roman" w:hAnsi="Times New Roman" w:eastAsia="仿宋_GB2312" w:cs="Times New Roman"/>
          <w:b w:val="0"/>
          <w:bCs/>
          <w:color w:val="000000" w:themeColor="text1"/>
          <w:sz w:val="32"/>
          <w:szCs w:val="32"/>
          <w14:textFill>
            <w14:solidFill>
              <w14:schemeClr w14:val="tx1"/>
            </w14:solidFill>
          </w14:textFill>
        </w:rPr>
        <w:t>、一名领导、一抓到底”的整改工作机制，</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确保各个问题有着落、</w:t>
      </w:r>
      <w:r>
        <w:rPr>
          <w:rFonts w:hint="default" w:ascii="Times New Roman" w:hAnsi="Times New Roman" w:eastAsia="仿宋_GB2312" w:cs="Times New Roman"/>
          <w:color w:val="000000" w:themeColor="text1"/>
          <w:sz w:val="32"/>
          <w:szCs w:val="32"/>
          <w14:textFill>
            <w14:solidFill>
              <w14:schemeClr w14:val="tx1"/>
            </w14:solidFill>
          </w14:textFill>
        </w:rPr>
        <w:t>件件整改见实效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专班推进整改</w:t>
      </w:r>
      <w:r>
        <w:rPr>
          <w:rFonts w:hint="default" w:ascii="Times New Roman" w:hAnsi="Times New Roman" w:eastAsia="仿宋_GB2312" w:cs="Times New Roman"/>
          <w:b/>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要成立</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衔接资金项目问题</w:t>
      </w:r>
      <w:r>
        <w:rPr>
          <w:rFonts w:hint="default" w:ascii="Times New Roman" w:hAnsi="Times New Roman" w:eastAsia="仿宋_GB2312" w:cs="Times New Roman"/>
          <w:b w:val="0"/>
          <w:bCs/>
          <w:color w:val="000000" w:themeColor="text1"/>
          <w:sz w:val="32"/>
          <w:szCs w:val="32"/>
          <w14:textFill>
            <w14:solidFill>
              <w14:schemeClr w14:val="tx1"/>
            </w14:solidFill>
          </w14:textFill>
        </w:rPr>
        <w:t>整改</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工作</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专班</w:t>
      </w:r>
      <w:r>
        <w:rPr>
          <w:rFonts w:hint="default" w:ascii="Times New Roman" w:hAnsi="Times New Roman" w:eastAsia="仿宋_GB2312" w:cs="Times New Roman"/>
          <w:b w:val="0"/>
          <w:bCs/>
          <w:color w:val="000000" w:themeColor="text1"/>
          <w:sz w:val="32"/>
          <w:szCs w:val="32"/>
          <w14:textFill>
            <w14:solidFill>
              <w14:schemeClr w14:val="tx1"/>
            </w14:solidFill>
          </w14:textFill>
        </w:rPr>
        <w:t>，专门负责</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研究部署、推进落实资金项目问题</w:t>
      </w:r>
      <w:r>
        <w:rPr>
          <w:rFonts w:hint="default" w:ascii="Times New Roman" w:hAnsi="Times New Roman" w:eastAsia="仿宋_GB2312" w:cs="Times New Roman"/>
          <w:b w:val="0"/>
          <w:bCs/>
          <w:color w:val="000000" w:themeColor="text1"/>
          <w:sz w:val="32"/>
          <w:szCs w:val="32"/>
          <w14:textFill>
            <w14:solidFill>
              <w14:schemeClr w14:val="tx1"/>
            </w14:solidFill>
          </w14:textFill>
        </w:rPr>
        <w:t>整改工作，常委班子成员带头包</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联</w:t>
      </w:r>
      <w:r>
        <w:rPr>
          <w:rFonts w:hint="default" w:ascii="Times New Roman" w:hAnsi="Times New Roman" w:eastAsia="仿宋_GB2312" w:cs="Times New Roman"/>
          <w:b w:val="0"/>
          <w:bCs/>
          <w:color w:val="000000" w:themeColor="text1"/>
          <w:sz w:val="32"/>
          <w:szCs w:val="32"/>
          <w14:textFill>
            <w14:solidFill>
              <w14:schemeClr w14:val="tx1"/>
            </w14:solidFill>
          </w14:textFill>
        </w:rPr>
        <w:t>抓重点问题、重要事项，带头深入一线检查指导、现场办公，督促各项整改措施落实到位。</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专题</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部署整改。</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要召开专题会议研究部署衔接资金项目问题整改工作，落实整改责任分工，将整改责任落实到具体单位、具体责任人，</w:t>
      </w:r>
      <w:r>
        <w:rPr>
          <w:rFonts w:hint="default" w:ascii="Times New Roman" w:hAnsi="Times New Roman" w:eastAsia="仿宋_GB2312" w:cs="Times New Roman"/>
          <w:b w:val="0"/>
          <w:bCs/>
          <w:color w:val="000000" w:themeColor="text1"/>
          <w:sz w:val="32"/>
          <w:szCs w:val="32"/>
          <w14:textFill>
            <w14:solidFill>
              <w14:schemeClr w14:val="tx1"/>
            </w14:solidFill>
          </w14:textFill>
        </w:rPr>
        <w:t>确保</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每个问题都有单位承接，有专</w:t>
      </w:r>
      <w:r>
        <w:rPr>
          <w:rFonts w:hint="default" w:ascii="Times New Roman" w:hAnsi="Times New Roman" w:eastAsia="仿宋_GB2312" w:cs="Times New Roman"/>
          <w:b w:val="0"/>
          <w:bCs/>
          <w:color w:val="000000" w:themeColor="text1"/>
          <w:sz w:val="32"/>
          <w:szCs w:val="32"/>
          <w14:textFill>
            <w14:solidFill>
              <w14:schemeClr w14:val="tx1"/>
            </w14:solidFill>
          </w14:textFill>
        </w:rPr>
        <w:t>人抓，有</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专</w:t>
      </w:r>
      <w:r>
        <w:rPr>
          <w:rFonts w:hint="default" w:ascii="Times New Roman" w:hAnsi="Times New Roman" w:eastAsia="仿宋_GB2312" w:cs="Times New Roman"/>
          <w:b w:val="0"/>
          <w:bCs/>
          <w:color w:val="000000" w:themeColor="text1"/>
          <w:sz w:val="32"/>
          <w:szCs w:val="32"/>
          <w14:textFill>
            <w14:solidFill>
              <w14:schemeClr w14:val="tx1"/>
            </w14:solidFill>
          </w14:textFill>
        </w:rPr>
        <w:t>人管</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制定整改方案。</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包联县领导要带头</w:t>
      </w:r>
      <w:r>
        <w:rPr>
          <w:rFonts w:hint="default" w:ascii="Times New Roman" w:hAnsi="Times New Roman" w:eastAsia="仿宋_GB2312" w:cs="Times New Roman"/>
          <w:b w:val="0"/>
          <w:bCs/>
          <w:color w:val="000000" w:themeColor="text1"/>
          <w:sz w:val="32"/>
          <w:szCs w:val="32"/>
          <w14:textFill>
            <w14:solidFill>
              <w14:schemeClr w14:val="tx1"/>
            </w14:solidFill>
          </w14:textFill>
        </w:rPr>
        <w:t>研究落实整改</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措施</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高标</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准</w:t>
      </w:r>
      <w:r>
        <w:rPr>
          <w:rFonts w:hint="default" w:ascii="Times New Roman" w:hAnsi="Times New Roman" w:eastAsia="仿宋_GB2312" w:cs="Times New Roman"/>
          <w:b w:val="0"/>
          <w:bCs/>
          <w:color w:val="000000" w:themeColor="text1"/>
          <w:sz w:val="32"/>
          <w:szCs w:val="32"/>
          <w14:textFill>
            <w14:solidFill>
              <w14:schemeClr w14:val="tx1"/>
            </w14:solidFill>
          </w14:textFill>
        </w:rPr>
        <w:t>制定整改方案，列出整改清单，明确整改目标、 整改内容、整改时限，倒排</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工期</w:t>
      </w:r>
      <w:r>
        <w:rPr>
          <w:rFonts w:hint="default" w:ascii="Times New Roman" w:hAnsi="Times New Roman" w:eastAsia="仿宋_GB2312" w:cs="Times New Roman"/>
          <w:b w:val="0"/>
          <w:bCs/>
          <w:color w:val="000000" w:themeColor="text1"/>
          <w:sz w:val="32"/>
          <w:szCs w:val="32"/>
          <w14:textFill>
            <w14:solidFill>
              <w14:schemeClr w14:val="tx1"/>
            </w14:solidFill>
          </w14:textFill>
        </w:rPr>
        <w:t>，挂图作</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战，</w:t>
      </w:r>
      <w:r>
        <w:rPr>
          <w:rFonts w:hint="default" w:ascii="Times New Roman" w:hAnsi="Times New Roman" w:eastAsia="仿宋_GB2312" w:cs="Times New Roman"/>
          <w:b w:val="0"/>
          <w:bCs/>
          <w:color w:val="000000" w:themeColor="text1"/>
          <w:sz w:val="32"/>
          <w:szCs w:val="32"/>
          <w14:textFill>
            <w14:solidFill>
              <w14:schemeClr w14:val="tx1"/>
            </w14:solidFill>
          </w14:textFill>
        </w:rPr>
        <w:t>做到不落一项、不丢一条。</w:t>
      </w:r>
      <w:r>
        <w:rPr>
          <w:rFonts w:hint="default" w:ascii="Times New Roman" w:hAnsi="Times New Roman" w:eastAsia="仿宋_GB2312" w:cs="Times New Roman"/>
          <w:b/>
          <w:bCs w:val="0"/>
          <w:color w:val="000000" w:themeColor="text1"/>
          <w:sz w:val="32"/>
          <w:szCs w:val="32"/>
          <w14:textFill>
            <w14:solidFill>
              <w14:schemeClr w14:val="tx1"/>
            </w14:solidFill>
          </w14:textFill>
        </w:rPr>
        <w:t>突出跟踪督办。</w:t>
      </w:r>
      <w:r>
        <w:rPr>
          <w:rFonts w:hint="default" w:ascii="Times New Roman" w:hAnsi="Times New Roman" w:eastAsia="仿宋_GB2312" w:cs="Times New Roman"/>
          <w:b w:val="0"/>
          <w:bCs/>
          <w:color w:val="000000" w:themeColor="text1"/>
          <w:sz w:val="32"/>
          <w:szCs w:val="32"/>
          <w14:textFill>
            <w14:solidFill>
              <w14:schemeClr w14:val="tx1"/>
            </w14:solidFill>
          </w14:textFill>
        </w:rPr>
        <w:t>对</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问题整改实行分类管理</w:t>
      </w:r>
      <w:r>
        <w:rPr>
          <w:rFonts w:hint="default" w:ascii="Times New Roman" w:hAnsi="Times New Roman" w:eastAsia="仿宋_GB2312" w:cs="Times New Roman"/>
          <w:b w:val="0"/>
          <w:bCs/>
          <w:color w:val="000000" w:themeColor="text1"/>
          <w:sz w:val="32"/>
          <w:szCs w:val="32"/>
          <w14:textFill>
            <w14:solidFill>
              <w14:schemeClr w14:val="tx1"/>
            </w14:solidFill>
          </w14:textFill>
        </w:rPr>
        <w:t>，对当前能解决的问题，坚持</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立行立改</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对一些涉及面广、情况复杂、需要一</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段时间整改</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，拿出具体措施和办法，跟踪督办，限时整改，持续抓好整改落实。</w:t>
      </w:r>
      <w:r>
        <w:rPr>
          <w:rFonts w:hint="default" w:ascii="Times New Roman" w:hAnsi="Times New Roman" w:eastAsia="仿宋_GB2312" w:cs="Times New Roman"/>
          <w:b/>
          <w:bCs w:val="0"/>
          <w:color w:val="000000" w:themeColor="text1"/>
          <w:sz w:val="32"/>
          <w:szCs w:val="32"/>
          <w14:textFill>
            <w14:solidFill>
              <w14:schemeClr w14:val="tx1"/>
            </w14:solidFill>
          </w14:textFill>
        </w:rPr>
        <w:t>实行销号</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管理。</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对确认完成整改的问题，由县级政府组织有关部门逐一进行对帐核实销号，出具整改销号意见。</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二是落实市级监督推进责任</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逐项审核把关。</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建立审核机制，对所辖县（市、区）制定的整改措施逐一审核把关，</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杜绝走过场、搞变通，</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防止整改措施针对性、时效性、操作性不强</w:t>
      </w:r>
      <w:r>
        <w:rPr>
          <w:rStyle w:val="15"/>
          <w:rFonts w:hint="default" w:ascii="Times New Roman" w:hAnsi="Times New Roman" w:eastAsia="仿宋_GB2312" w:cs="Times New Roman"/>
          <w:b w:val="0"/>
          <w:bCs w:val="0"/>
          <w:i w:val="0"/>
          <w:caps w:val="0"/>
          <w:color w:val="000000" w:themeColor="text1"/>
          <w:spacing w:val="0"/>
          <w:w w:val="100"/>
          <w:kern w:val="2"/>
          <w:sz w:val="32"/>
          <w:szCs w:val="32"/>
          <w:highlight w:val="none"/>
          <w:lang w:val="en-US" w:eastAsia="zh-CN" w:bidi="ar-SA"/>
          <w14:textFill>
            <w14:solidFill>
              <w14:schemeClr w14:val="tx1"/>
            </w14:solidFill>
          </w14:textFill>
        </w:rPr>
        <w:t>。</w:t>
      </w:r>
      <w:r>
        <w:rPr>
          <w:rStyle w:val="15"/>
          <w:rFonts w:hint="default" w:ascii="Times New Roman" w:hAnsi="Times New Roman" w:eastAsia="仿宋_GB2312" w:cs="Times New Roman"/>
          <w:b/>
          <w:bCs/>
          <w:i w:val="0"/>
          <w:caps w:val="0"/>
          <w:color w:val="000000" w:themeColor="text1"/>
          <w:spacing w:val="0"/>
          <w:w w:val="100"/>
          <w:kern w:val="2"/>
          <w:sz w:val="32"/>
          <w:szCs w:val="32"/>
          <w:highlight w:val="none"/>
          <w:lang w:val="en-US" w:eastAsia="zh-CN" w:bidi="ar-SA"/>
          <w14:textFill>
            <w14:solidFill>
              <w14:schemeClr w14:val="tx1"/>
            </w14:solidFill>
          </w14:textFill>
        </w:rPr>
        <w:t>督导推进整改。</w:t>
      </w:r>
      <w:r>
        <w:rPr>
          <w:rStyle w:val="15"/>
          <w:rFonts w:hint="default" w:ascii="Times New Roman" w:hAnsi="Times New Roman" w:eastAsia="仿宋_GB2312" w:cs="Times New Roman"/>
          <w:b w:val="0"/>
          <w:bCs w:val="0"/>
          <w:i w:val="0"/>
          <w:caps w:val="0"/>
          <w:color w:val="000000" w:themeColor="text1"/>
          <w:spacing w:val="0"/>
          <w:w w:val="100"/>
          <w:kern w:val="2"/>
          <w:sz w:val="32"/>
          <w:szCs w:val="32"/>
          <w:highlight w:val="none"/>
          <w:lang w:val="en-US" w:eastAsia="zh-CN" w:bidi="ar-SA"/>
          <w14:textFill>
            <w14:solidFill>
              <w14:schemeClr w14:val="tx1"/>
            </w14:solidFill>
          </w14:textFill>
        </w:rPr>
        <w:t>要专题部署推进问题整改工作，</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组织有关部门或聘请第三方，对县级整改情况进行督导核查，</w:t>
      </w:r>
      <w:r>
        <w:rPr>
          <w:rStyle w:val="15"/>
          <w:rFonts w:hint="default" w:ascii="Times New Roman" w:hAnsi="Times New Roman" w:eastAsia="仿宋_GB2312" w:cs="Times New Roman"/>
          <w:b w:val="0"/>
          <w:bCs w:val="0"/>
          <w:i w:val="0"/>
          <w:caps w:val="0"/>
          <w:color w:val="000000" w:themeColor="text1"/>
          <w:spacing w:val="0"/>
          <w:w w:val="100"/>
          <w:kern w:val="2"/>
          <w:sz w:val="32"/>
          <w:szCs w:val="32"/>
          <w:highlight w:val="none"/>
          <w:lang w:val="en-US" w:eastAsia="zh-CN" w:bidi="ar-SA"/>
          <w14:textFill>
            <w14:solidFill>
              <w14:schemeClr w14:val="tx1"/>
            </w14:solidFill>
          </w14:textFill>
        </w:rPr>
        <w:t>对已完成整改的问题，跟踪整改落实情况；对正在整改的问题，督促加快整改进程。</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推动问题真改实改、改出成效。</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实行销号审查。</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市政府组织相关部门对县级上报的整改销号意见进行审查，重点审</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查</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整改措施是否落实到位、是否达到整改效果、是否符合销号要求等，要逐个问题出具审查意见。</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三是落实省级部门跟踪督办责任</w:t>
      </w:r>
      <w:r>
        <w:rPr>
          <w:rFonts w:hint="default" w:ascii="Times New Roman" w:hAnsi="Times New Roman" w:eastAsia="仿宋_GB2312" w:cs="Times New Roman"/>
          <w:b w:val="0"/>
          <w:bCs w:val="0"/>
          <w:i w:val="0"/>
          <w:iCs w:val="0"/>
          <w:color w:val="000000" w:themeColor="text1"/>
          <w:sz w:val="32"/>
          <w:szCs w:val="32"/>
          <w:lang w:val="en-US" w:eastAsia="zh-CN"/>
          <w14:textFill>
            <w14:solidFill>
              <w14:schemeClr w14:val="tx1"/>
            </w14:solidFill>
          </w14:textFill>
        </w:rPr>
        <w:t>。省级行业部门</w:t>
      </w:r>
      <w:r>
        <w:rPr>
          <w:rFonts w:hint="eastAsia" w:ascii="Times New Roman" w:hAnsi="Times New Roman" w:eastAsia="仿宋_GB2312" w:cs="Times New Roman"/>
          <w:b w:val="0"/>
          <w:bCs w:val="0"/>
          <w:i w:val="0"/>
          <w:iCs w:val="0"/>
          <w:color w:val="000000" w:themeColor="text1"/>
          <w:sz w:val="32"/>
          <w:szCs w:val="32"/>
          <w:lang w:val="en-US" w:eastAsia="zh-CN"/>
          <w14:textFill>
            <w14:solidFill>
              <w14:schemeClr w14:val="tx1"/>
            </w14:solidFill>
          </w14:textFill>
        </w:rPr>
        <w:t>会同财政部门</w:t>
      </w:r>
      <w:r>
        <w:rPr>
          <w:rFonts w:hint="default" w:ascii="Times New Roman" w:hAnsi="Times New Roman" w:eastAsia="仿宋_GB2312" w:cs="Times New Roman"/>
          <w:b w:val="0"/>
          <w:bCs w:val="0"/>
          <w:i w:val="0"/>
          <w:iCs w:val="0"/>
          <w:color w:val="000000" w:themeColor="text1"/>
          <w:sz w:val="32"/>
          <w:szCs w:val="32"/>
          <w:lang w:val="en-US" w:eastAsia="zh-CN"/>
          <w14:textFill>
            <w14:solidFill>
              <w14:schemeClr w14:val="tx1"/>
            </w14:solidFill>
          </w14:textFill>
        </w:rPr>
        <w:t>负责督促推进本领域问题整改，对问题整改情况进行跟踪督办，定期调度问题整改进展，组织对问题整改情况进行实地核查，对整改不实、虚假整改、应付整改的予以通报批评并追究责任。</w:t>
      </w:r>
    </w:p>
    <w:p>
      <w:pPr>
        <w:pStyle w:val="5"/>
        <w:keepNext w:val="0"/>
        <w:keepLines w:val="0"/>
        <w:pageBreakBefore w:val="0"/>
        <w:widowControl w:val="0"/>
        <w:kinsoku/>
        <w:wordWrap/>
        <w:overflowPunct/>
        <w:topLinePunct w:val="0"/>
        <w:autoSpaceDE/>
        <w:autoSpaceDN/>
        <w:bidi w:val="0"/>
        <w:snapToGrid/>
        <w:spacing w:after="0" w:line="560" w:lineRule="exact"/>
        <w:ind w:left="0" w:leftChars="0" w:right="63" w:firstLine="640" w:firstLineChars="0"/>
        <w:jc w:val="both"/>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（三）做好共性问题举一反三整改。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对国家反馈的其他省共性问题和其他县存在的问题，</w:t>
      </w:r>
      <w:r>
        <w:rPr>
          <w:rFonts w:hint="default" w:ascii="Times New Roman" w:hAnsi="Times New Roman" w:eastAsia="仿宋_GB2312" w:cs="Times New Roman"/>
          <w:color w:val="000000" w:themeColor="text1"/>
          <w:sz w:val="32"/>
          <w:szCs w:val="32"/>
          <w14:textFill>
            <w14:solidFill>
              <w14:schemeClr w14:val="tx1"/>
            </w14:solidFill>
          </w14:textFill>
        </w:rPr>
        <w:t>既要对号入座，也要举一反三，由表及里。国家考核没有抽查到的市、县、乡、村，更要对照指出的问题，主动摸排，查缺补漏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要全面自查自纠</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。针对</w:t>
      </w:r>
      <w:r>
        <w:rPr>
          <w:rFonts w:hint="default" w:ascii="Times New Roman" w:hAnsi="Times New Roman" w:eastAsia="仿宋_GB2312" w:cs="Times New Roman"/>
          <w:color w:val="000000" w:themeColor="text1"/>
          <w:sz w:val="32"/>
          <w:szCs w:val="32"/>
          <w14:textFill>
            <w14:solidFill>
              <w14:schemeClr w14:val="tx1"/>
            </w14:solidFill>
          </w14:textFill>
        </w:rPr>
        <w:t>共性问题，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对标对表，逐一开展问题排查，进行自查自纠，</w:t>
      </w:r>
      <w:r>
        <w:rPr>
          <w:rFonts w:hint="default" w:ascii="Times New Roman" w:hAnsi="Times New Roman" w:eastAsia="仿宋_GB2312" w:cs="Times New Roman"/>
          <w:color w:val="000000" w:themeColor="text1"/>
          <w:sz w:val="32"/>
          <w:szCs w:val="32"/>
          <w14:textFill>
            <w14:solidFill>
              <w14:schemeClr w14:val="tx1"/>
            </w14:solidFill>
          </w14:textFill>
        </w:rPr>
        <w:t>切实把问题不足找全，把问题产生的根源剖析清楚，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着力解决本地区系统性、倾向性、苗头性问题。建立自查问题清单和整改台账，</w:t>
      </w:r>
      <w:r>
        <w:rPr>
          <w:rFonts w:hint="default" w:ascii="Times New Roman" w:hAnsi="Times New Roman" w:eastAsia="FangSong_GB2312" w:cs="Times New Roman"/>
          <w:sz w:val="32"/>
        </w:rPr>
        <w:t>对存在的问题即知即改、立行立改，并长期坚持</w:t>
      </w:r>
      <w:r>
        <w:rPr>
          <w:rFonts w:hint="default" w:ascii="Times New Roman" w:hAnsi="Times New Roman" w:eastAsia="FangSong_GB2312" w:cs="Times New Roman"/>
          <w:sz w:val="32"/>
          <w:lang w:eastAsia="zh-CN"/>
        </w:rPr>
        <w:t>；对一时整改不了的，要落实针对性整改措施，督促限期完成整改</w:t>
      </w:r>
      <w:r>
        <w:rPr>
          <w:rFonts w:hint="default" w:ascii="Times New Roman" w:hAnsi="Times New Roman" w:eastAsia="FangSong_GB2312" w:cs="Times New Roman"/>
          <w:sz w:val="32"/>
        </w:rPr>
        <w:t>。各</w:t>
      </w:r>
      <w:r>
        <w:rPr>
          <w:rFonts w:hint="default" w:ascii="Times New Roman" w:hAnsi="Times New Roman" w:eastAsia="FangSong_GB2312" w:cs="Times New Roman"/>
          <w:sz w:val="32"/>
          <w:lang w:eastAsia="zh-CN"/>
        </w:rPr>
        <w:t>市（地）</w:t>
      </w:r>
      <w:r>
        <w:rPr>
          <w:rFonts w:hint="default" w:ascii="Times New Roman" w:hAnsi="Times New Roman" w:eastAsia="FangSong_GB2312" w:cs="Times New Roman"/>
          <w:sz w:val="32"/>
        </w:rPr>
        <w:t>要强化督导检查，对个别问题严重的县区，要下沉工作力量，现场督办整改。</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二要建立长效机制。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坚持边排查边整改、边巩固成果边健全制度、边挖掘经验边推进长效。</w:t>
      </w:r>
      <w:r>
        <w:rPr>
          <w:rFonts w:hint="default" w:ascii="Times New Roman" w:hAnsi="Times New Roman" w:eastAsia="仿宋_GB2312" w:cs="Times New Roman"/>
          <w:sz w:val="32"/>
          <w:szCs w:val="32"/>
        </w:rPr>
        <w:t>衔接资金各任务方向的行业主管部门、财政部门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要结合省委巡视、乡村振兴重点项目专项监督、审计及本次国家后评估等反馈问题整改，</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深入剖析问题成因，反思共性问题，</w:t>
      </w:r>
      <w:r>
        <w:rPr>
          <w:rFonts w:hint="default" w:ascii="Times New Roman" w:hAnsi="Times New Roman" w:eastAsia="仿宋_GB2312" w:cs="Times New Roman"/>
          <w:sz w:val="32"/>
          <w:szCs w:val="32"/>
        </w:rPr>
        <w:t>在深入调研的基础上完善制度规定和工作机制，不断健全长效机制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确保今后同类问题不再重复出现。</w:t>
      </w:r>
    </w:p>
    <w:p>
      <w:pPr>
        <w:pStyle w:val="3"/>
        <w:keepNext w:val="0"/>
        <w:keepLines w:val="0"/>
        <w:pageBreakBefore w:val="0"/>
        <w:widowControl w:val="0"/>
        <w:kinsoku/>
        <w:wordWrap/>
        <w:overflowPunct/>
        <w:topLinePunct w:val="0"/>
        <w:autoSpaceDE/>
        <w:autoSpaceDN/>
        <w:bidi w:val="0"/>
        <w:spacing w:beforeAutospacing="0" w:afterAutospacing="0" w:line="560" w:lineRule="exact"/>
        <w:ind w:firstLine="642"/>
        <w:jc w:val="both"/>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（四）强化整改措施落实</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针对国家反馈的问题，</w:t>
      </w:r>
      <w:bookmarkStart w:id="0" w:name="_GoBack"/>
      <w:bookmarkEnd w:id="0"/>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一是加强项目谋划论证。</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完善县级巩固拓展脱贫攻坚成果和乡村振兴项目库，围绕衔接资金使用范围谋划项目，强化项目市场风险、预期效益论证，做好项目前期工作，持续提升入库项目质量。</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二是规范项目实施管理。</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加强项目实施过程监管，持续规范项目监理、竣工验收、公告公示等工作流程，加快项目实施进度，提升项目建设质量。严格落实以工代赈政策，规范编制项目可研报告或实施方案，落实劳务报酬管理要求。</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三是加强资金使用监管。</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严格按照资金管理办法安排使用资金，不得用于“负面清单”事项。加强预算执行管理，严格按照规定和合同拨付工程款，坚决杜绝超进度拨款。加强资金绩效管理，科学合理设置绩效目标，不断提高资金使用成效。落实相关行业部门监管责任，及时发现问题，持续跟踪督促，推动整改落实，确保资金安全有效使用。</w:t>
      </w:r>
    </w:p>
    <w:p>
      <w:pPr>
        <w:keepNext w:val="0"/>
        <w:keepLines w:val="0"/>
        <w:pageBreakBefore w:val="0"/>
        <w:widowControl w:val="0"/>
        <w:numPr>
          <w:ilvl w:val="0"/>
          <w:numId w:val="0"/>
        </w:numPr>
        <w:kinsoku/>
        <w:wordWrap/>
        <w:overflowPunct/>
        <w:topLinePunct w:val="0"/>
        <w:autoSpaceDE/>
        <w:bidi w:val="0"/>
        <w:spacing w:line="560" w:lineRule="exact"/>
        <w:ind w:firstLine="640" w:firstLineChars="200"/>
        <w:jc w:val="both"/>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三、整改要求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（一）强化组织领导。</w:t>
      </w:r>
      <w:r>
        <w:rPr>
          <w:rFonts w:hint="default" w:ascii="Times New Roman" w:hAnsi="Times New Roman" w:eastAsia="仿宋_GB2312" w:cs="Times New Roman"/>
          <w:color w:val="000000" w:themeColor="text1"/>
          <w:sz w:val="32"/>
          <w:szCs w:val="32"/>
          <w14:textFill>
            <w14:solidFill>
              <w14:schemeClr w14:val="tx1"/>
            </w14:solidFill>
          </w14:textFill>
        </w:rPr>
        <w:t>各级党委和政府要自觉扛起整改工作政治责任，把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衔接资金项目</w:t>
      </w:r>
      <w:r>
        <w:rPr>
          <w:rFonts w:hint="default" w:ascii="Times New Roman" w:hAnsi="Times New Roman" w:eastAsia="仿宋_GB2312" w:cs="Times New Roman"/>
          <w:color w:val="000000" w:themeColor="text1"/>
          <w:sz w:val="32"/>
          <w:szCs w:val="32"/>
          <w14:textFill>
            <w14:solidFill>
              <w14:schemeClr w14:val="tx1"/>
            </w14:solidFill>
          </w14:textFill>
        </w:rPr>
        <w:t>问题整改作为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“工作落实年”</w:t>
      </w:r>
      <w:r>
        <w:rPr>
          <w:rFonts w:hint="default" w:ascii="Times New Roman" w:hAnsi="Times New Roman" w:eastAsia="仿宋_GB2312" w:cs="Times New Roman"/>
          <w:color w:val="000000" w:themeColor="text1"/>
          <w:sz w:val="32"/>
          <w:szCs w:val="32"/>
          <w14:textFill>
            <w14:solidFill>
              <w14:schemeClr w14:val="tx1"/>
            </w14:solidFill>
          </w14:textFill>
        </w:rPr>
        <w:t>的重要内容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，与国家后评估考核反馈问题整改同部署、同落实，一体推进整改</w:t>
      </w:r>
      <w:r>
        <w:rPr>
          <w:rFonts w:hint="default" w:ascii="Times New Roman" w:hAnsi="Times New Roman" w:eastAsia="仿宋_GB2312" w:cs="Times New Roman"/>
          <w:color w:val="000000" w:themeColor="text1"/>
          <w:sz w:val="32"/>
          <w:szCs w:val="32"/>
          <w14:textFill>
            <w14:solidFill>
              <w14:schemeClr w14:val="tx1"/>
            </w14:solidFill>
          </w14:textFill>
        </w:rPr>
        <w:t>。主要领导亲自研究、亲自部署、亲自督导、亲自调度整改工作，层层传导压力。各有关行业部门要落实责任领导，落实专人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推进</w:t>
      </w:r>
      <w:r>
        <w:rPr>
          <w:rFonts w:hint="default" w:ascii="Times New Roman" w:hAnsi="Times New Roman" w:eastAsia="仿宋_GB2312" w:cs="Times New Roman"/>
          <w:color w:val="000000" w:themeColor="text1"/>
          <w:sz w:val="32"/>
          <w:szCs w:val="32"/>
          <w14:textFill>
            <w14:solidFill>
              <w14:schemeClr w14:val="tx1"/>
            </w14:solidFill>
          </w14:textFill>
        </w:rPr>
        <w:t>，在抓好自身问题整改的同时，督促指导做好本行业领域的整改工作。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从严从实整改</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“严真细实快”</w:t>
      </w:r>
      <w:r>
        <w:rPr>
          <w:rFonts w:hint="default" w:ascii="Times New Roman" w:hAnsi="Times New Roman" w:eastAsia="仿宋_GB2312" w:cs="Times New Roman"/>
          <w:color w:val="000000" w:themeColor="text1"/>
          <w:sz w:val="32"/>
          <w:szCs w:val="32"/>
          <w14:textFill>
            <w14:solidFill>
              <w14:schemeClr w14:val="tx1"/>
            </w14:solidFill>
          </w14:textFill>
        </w:rPr>
        <w:t>要求贯穿整改工作全过程，</w:t>
      </w:r>
      <w:r>
        <w:rPr>
          <w:rFonts w:hint="default" w:ascii="Times New Roman" w:hAnsi="Times New Roman" w:eastAsia="仿宋_GB2312" w:cs="Times New Roman"/>
          <w:sz w:val="32"/>
          <w:szCs w:val="32"/>
        </w:rPr>
        <w:t>对核实发现存在严重违法违纪问题的，要按规定开展问责，推动保持资金监管从严态势。</w:t>
      </w:r>
      <w:r>
        <w:rPr>
          <w:rFonts w:hint="default" w:ascii="Times New Roman" w:hAnsi="Times New Roman" w:eastAsia="仿宋_GB2312" w:cs="Times New Roman"/>
          <w:sz w:val="32"/>
          <w:szCs w:val="32"/>
          <w:lang w:eastAsia="zh-CN"/>
        </w:rPr>
        <w:t>对有些历史问题，县级要深入研究分析原因，结合实际提出切实可行的解决办法，不能“新官不理旧账”。</w:t>
      </w:r>
      <w:r>
        <w:rPr>
          <w:rFonts w:hint="default" w:ascii="Times New Roman" w:hAnsi="Times New Roman" w:eastAsia="仿宋_GB2312" w:cs="Times New Roman"/>
          <w:color w:val="000000" w:themeColor="text1"/>
          <w:sz w:val="32"/>
          <w:szCs w:val="32"/>
          <w14:textFill>
            <w14:solidFill>
              <w14:schemeClr w14:val="tx1"/>
            </w14:solidFill>
          </w14:textFill>
        </w:rPr>
        <w:t>严防形式主义、官僚主义，杜绝走过场、搞变通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对虚假整改、敷衍整改、整改不力的要严肃问责，同时杜绝以简单问责代替整改落实。</w:t>
      </w:r>
    </w:p>
    <w:p>
      <w:pPr>
        <w:keepNext w:val="0"/>
        <w:keepLines w:val="0"/>
        <w:pageBreakBefore w:val="0"/>
        <w:widowControl w:val="0"/>
        <w:kinsoku/>
        <w:wordWrap/>
        <w:overflowPunct/>
        <w:topLinePunct w:val="0"/>
        <w:autoSpaceDE/>
        <w:bidi w:val="0"/>
        <w:spacing w:line="560" w:lineRule="exact"/>
        <w:ind w:firstLine="64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sz w:val="32"/>
          <w:szCs w:val="32"/>
          <w:lang w:eastAsia="zh-CN"/>
        </w:rPr>
        <w:t>（三）按时</w:t>
      </w:r>
      <w:r>
        <w:rPr>
          <w:rFonts w:hint="default" w:ascii="Times New Roman" w:hAnsi="Times New Roman" w:eastAsia="楷体_GB2312" w:cs="Times New Roman"/>
          <w:b w:val="0"/>
          <w:bCs w:val="0"/>
          <w:sz w:val="32"/>
          <w:szCs w:val="32"/>
        </w:rPr>
        <w:t>报送</w:t>
      </w:r>
      <w:r>
        <w:rPr>
          <w:rFonts w:hint="default" w:ascii="Times New Roman" w:hAnsi="Times New Roman" w:eastAsia="楷体_GB2312" w:cs="Times New Roman"/>
          <w:b w:val="0"/>
          <w:bCs w:val="0"/>
          <w:sz w:val="32"/>
          <w:szCs w:val="32"/>
          <w:lang w:eastAsia="zh-CN"/>
        </w:rPr>
        <w:t>整改情况</w:t>
      </w:r>
      <w:r>
        <w:rPr>
          <w:rFonts w:hint="default" w:ascii="Times New Roman" w:hAnsi="Times New Roman" w:eastAsia="楷体_GB2312" w:cs="Times New Roman"/>
          <w:b w:val="0"/>
          <w:bCs w:val="0"/>
          <w:sz w:val="32"/>
          <w:szCs w:val="32"/>
        </w:rPr>
        <w:t>。</w:t>
      </w:r>
      <w:r>
        <w:rPr>
          <w:rFonts w:hint="default" w:ascii="Times New Roman" w:hAnsi="Times New Roman" w:eastAsia="仿宋_GB2312" w:cs="Times New Roman"/>
          <w:sz w:val="32"/>
          <w:szCs w:val="32"/>
        </w:rPr>
        <w:t>市县农业农村、民宗、发改、林草等行业主管部门要及时将本领域问题整改落实情况提供同级财政、乡村振兴部门审核后，联合报省财政厅、省农业农村厅、省乡村振兴局、省民委、省发改委、省林草局。报送材料包括但不限于：整改情况报告、举一反三问题排查通知、问题整改台账、问题整改证明材料、完善制度机制材料等。省级将采取适当形式，对上述材料进行审核。</w:t>
      </w:r>
      <w:r>
        <w:rPr>
          <w:rFonts w:hint="default" w:ascii="Times New Roman" w:hAnsi="Times New Roman" w:eastAsia="黑体" w:cs="Times New Roman"/>
          <w:sz w:val="32"/>
          <w:szCs w:val="32"/>
          <w:lang w:eastAsia="zh-CN"/>
        </w:rPr>
        <w:t>（近期，省财政厅将会同省直相关部门专题部署整改，具体整改要求以通知为准）</w:t>
      </w:r>
    </w:p>
    <w:p>
      <w:pPr>
        <w:keepNext w:val="0"/>
        <w:keepLines w:val="0"/>
        <w:pageBreakBefore w:val="0"/>
        <w:widowControl w:val="0"/>
        <w:pBdr>
          <w:top w:val="none" w:color="000000" w:sz="0" w:space="0"/>
          <w:left w:val="none" w:color="000000" w:sz="0" w:space="0"/>
          <w:bottom w:val="none" w:color="000000" w:sz="0" w:space="31"/>
          <w:right w:val="none" w:color="000000" w:sz="0" w:space="1"/>
        </w:pBdr>
        <w:kinsoku/>
        <w:wordWrap/>
        <w:overflowPunct/>
        <w:topLinePunct w:val="0"/>
        <w:autoSpaceDE/>
        <w:autoSpaceDN w:val="0"/>
        <w:bidi w:val="0"/>
        <w:adjustRightInd w:val="0"/>
        <w:snapToGrid w:val="0"/>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sectPr>
      <w:footerReference r:id="rId3" w:type="default"/>
      <w:pgSz w:w="11906" w:h="16838"/>
      <w:pgMar w:top="2098" w:right="1417"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MzM1YWVmYTNmNDJiZDM0NTNmZDk2ZDkxZDliOWUifQ=="/>
  </w:docVars>
  <w:rsids>
    <w:rsidRoot w:val="00172A27"/>
    <w:rsid w:val="030176A9"/>
    <w:rsid w:val="032F7148"/>
    <w:rsid w:val="04C24726"/>
    <w:rsid w:val="05133A72"/>
    <w:rsid w:val="07F210D5"/>
    <w:rsid w:val="07F27507"/>
    <w:rsid w:val="08560DDC"/>
    <w:rsid w:val="091474DE"/>
    <w:rsid w:val="09635A2F"/>
    <w:rsid w:val="09FF4F0D"/>
    <w:rsid w:val="0A7B2255"/>
    <w:rsid w:val="0AE15AA2"/>
    <w:rsid w:val="0B2C354F"/>
    <w:rsid w:val="0B4B60CB"/>
    <w:rsid w:val="0B5D195B"/>
    <w:rsid w:val="0CD56EEE"/>
    <w:rsid w:val="0DED16BC"/>
    <w:rsid w:val="0F7200CA"/>
    <w:rsid w:val="11286E6A"/>
    <w:rsid w:val="11E36E99"/>
    <w:rsid w:val="12130FC5"/>
    <w:rsid w:val="13103E70"/>
    <w:rsid w:val="137135D8"/>
    <w:rsid w:val="142200AD"/>
    <w:rsid w:val="15A62474"/>
    <w:rsid w:val="15B430B5"/>
    <w:rsid w:val="15C05855"/>
    <w:rsid w:val="1680118C"/>
    <w:rsid w:val="16F413C5"/>
    <w:rsid w:val="16FF3DB6"/>
    <w:rsid w:val="180516B5"/>
    <w:rsid w:val="18526FDB"/>
    <w:rsid w:val="1877268C"/>
    <w:rsid w:val="18A31E04"/>
    <w:rsid w:val="18AF2C24"/>
    <w:rsid w:val="18B644C4"/>
    <w:rsid w:val="18DF1F83"/>
    <w:rsid w:val="195B4148"/>
    <w:rsid w:val="1A2975D8"/>
    <w:rsid w:val="1B612DA1"/>
    <w:rsid w:val="1BFC00BC"/>
    <w:rsid w:val="1C2B4440"/>
    <w:rsid w:val="1DD0166A"/>
    <w:rsid w:val="1E1467F1"/>
    <w:rsid w:val="1E470974"/>
    <w:rsid w:val="1EAF3953"/>
    <w:rsid w:val="21050673"/>
    <w:rsid w:val="212D41EA"/>
    <w:rsid w:val="216C7BE6"/>
    <w:rsid w:val="230E7CB2"/>
    <w:rsid w:val="23B819CC"/>
    <w:rsid w:val="23C763D6"/>
    <w:rsid w:val="24586344"/>
    <w:rsid w:val="246E6870"/>
    <w:rsid w:val="253B45F5"/>
    <w:rsid w:val="26BD5266"/>
    <w:rsid w:val="27764078"/>
    <w:rsid w:val="282E47BE"/>
    <w:rsid w:val="28305FD5"/>
    <w:rsid w:val="28752251"/>
    <w:rsid w:val="28817DF3"/>
    <w:rsid w:val="29545215"/>
    <w:rsid w:val="2ABE3AD0"/>
    <w:rsid w:val="2B430A53"/>
    <w:rsid w:val="2D2D2D91"/>
    <w:rsid w:val="2DBB358B"/>
    <w:rsid w:val="2E0E69F7"/>
    <w:rsid w:val="2F8337D6"/>
    <w:rsid w:val="30B73737"/>
    <w:rsid w:val="31AC06D7"/>
    <w:rsid w:val="32052F4E"/>
    <w:rsid w:val="32BA66ED"/>
    <w:rsid w:val="351F391E"/>
    <w:rsid w:val="366C6D72"/>
    <w:rsid w:val="37504947"/>
    <w:rsid w:val="3798092F"/>
    <w:rsid w:val="39563DA4"/>
    <w:rsid w:val="395A7756"/>
    <w:rsid w:val="39D222B3"/>
    <w:rsid w:val="3AA47500"/>
    <w:rsid w:val="3AEF3ACE"/>
    <w:rsid w:val="3B0752BB"/>
    <w:rsid w:val="3B6F1416"/>
    <w:rsid w:val="3B9516D0"/>
    <w:rsid w:val="3CFF09B7"/>
    <w:rsid w:val="3D1C4922"/>
    <w:rsid w:val="3F057D64"/>
    <w:rsid w:val="3F373C95"/>
    <w:rsid w:val="3F984734"/>
    <w:rsid w:val="408F1FDB"/>
    <w:rsid w:val="420F403F"/>
    <w:rsid w:val="423919F4"/>
    <w:rsid w:val="42B60E23"/>
    <w:rsid w:val="43410999"/>
    <w:rsid w:val="43725E9F"/>
    <w:rsid w:val="45237196"/>
    <w:rsid w:val="4537679D"/>
    <w:rsid w:val="45AF0B14"/>
    <w:rsid w:val="465E35A4"/>
    <w:rsid w:val="46C03A2B"/>
    <w:rsid w:val="492E70BE"/>
    <w:rsid w:val="4A2A2D74"/>
    <w:rsid w:val="4A2F0B9E"/>
    <w:rsid w:val="4C7E4CB1"/>
    <w:rsid w:val="4CB2061B"/>
    <w:rsid w:val="4E17716C"/>
    <w:rsid w:val="4EB4460D"/>
    <w:rsid w:val="4EE96D5A"/>
    <w:rsid w:val="4F005343"/>
    <w:rsid w:val="4F337FD5"/>
    <w:rsid w:val="500C47CE"/>
    <w:rsid w:val="51550A59"/>
    <w:rsid w:val="51DE5BF4"/>
    <w:rsid w:val="5210642D"/>
    <w:rsid w:val="527C04A5"/>
    <w:rsid w:val="53D1291E"/>
    <w:rsid w:val="53E775E0"/>
    <w:rsid w:val="542D0020"/>
    <w:rsid w:val="55801A9A"/>
    <w:rsid w:val="55E87971"/>
    <w:rsid w:val="562A6C8B"/>
    <w:rsid w:val="56692D5A"/>
    <w:rsid w:val="56AD3EC1"/>
    <w:rsid w:val="57395E27"/>
    <w:rsid w:val="57E36310"/>
    <w:rsid w:val="586C4455"/>
    <w:rsid w:val="589E2D81"/>
    <w:rsid w:val="59103135"/>
    <w:rsid w:val="594B78D1"/>
    <w:rsid w:val="5A037C45"/>
    <w:rsid w:val="5A5B438F"/>
    <w:rsid w:val="5BC25BF4"/>
    <w:rsid w:val="5C166CB5"/>
    <w:rsid w:val="5D35092E"/>
    <w:rsid w:val="5DF71551"/>
    <w:rsid w:val="5E832B7A"/>
    <w:rsid w:val="5EA72180"/>
    <w:rsid w:val="5EED105B"/>
    <w:rsid w:val="608845BB"/>
    <w:rsid w:val="60BB09FE"/>
    <w:rsid w:val="62351302"/>
    <w:rsid w:val="625959DA"/>
    <w:rsid w:val="630B649D"/>
    <w:rsid w:val="64326656"/>
    <w:rsid w:val="649102F8"/>
    <w:rsid w:val="64D34EFB"/>
    <w:rsid w:val="65D35BFE"/>
    <w:rsid w:val="67C27CF0"/>
    <w:rsid w:val="67D5211A"/>
    <w:rsid w:val="68594AF9"/>
    <w:rsid w:val="687B7247"/>
    <w:rsid w:val="68F04A63"/>
    <w:rsid w:val="696F5C56"/>
    <w:rsid w:val="69A64A9F"/>
    <w:rsid w:val="6A04797C"/>
    <w:rsid w:val="6AC9668D"/>
    <w:rsid w:val="6BE6753D"/>
    <w:rsid w:val="6C7C4B0D"/>
    <w:rsid w:val="6C9248C4"/>
    <w:rsid w:val="6D222FB4"/>
    <w:rsid w:val="6D6535F8"/>
    <w:rsid w:val="6D8C0DAB"/>
    <w:rsid w:val="6E190C8F"/>
    <w:rsid w:val="70047548"/>
    <w:rsid w:val="710D1854"/>
    <w:rsid w:val="71245578"/>
    <w:rsid w:val="712B6906"/>
    <w:rsid w:val="721E5934"/>
    <w:rsid w:val="73201A29"/>
    <w:rsid w:val="74343D24"/>
    <w:rsid w:val="744E225B"/>
    <w:rsid w:val="75D732ED"/>
    <w:rsid w:val="77473FDF"/>
    <w:rsid w:val="774E2EDB"/>
    <w:rsid w:val="79D93634"/>
    <w:rsid w:val="7A2605B3"/>
    <w:rsid w:val="7AE937B8"/>
    <w:rsid w:val="7B0648D6"/>
    <w:rsid w:val="7BEE19FB"/>
    <w:rsid w:val="7C1B470B"/>
    <w:rsid w:val="7C5527FF"/>
    <w:rsid w:val="7C641234"/>
    <w:rsid w:val="7D9E6376"/>
    <w:rsid w:val="7E861620"/>
    <w:rsid w:val="7E86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hAnsi="宋体" w:eastAsia="宋体" w:cs="Times New Roman"/>
      <w:b/>
      <w:kern w:val="44"/>
      <w:sz w:val="48"/>
      <w:szCs w:val="48"/>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jc w:val="center"/>
      <w:textAlignment w:val="baseline"/>
    </w:pPr>
    <w:rPr>
      <w:rFonts w:ascii="Arial" w:hAnsi="Arial" w:eastAsia="宋体" w:cs="Times New Roman"/>
      <w:b/>
      <w:bCs/>
      <w:kern w:val="2"/>
      <w:sz w:val="32"/>
      <w:szCs w:val="32"/>
      <w:lang w:val="en-US" w:eastAsia="zh-CN" w:bidi="ar-SA"/>
    </w:rPr>
  </w:style>
  <w:style w:type="paragraph" w:styleId="5">
    <w:name w:val="Body Text First Indent"/>
    <w:basedOn w:val="6"/>
    <w:qFormat/>
    <w:uiPriority w:val="0"/>
    <w:pPr>
      <w:adjustRightInd w:val="0"/>
      <w:spacing w:after="0" w:line="360" w:lineRule="atLeast"/>
      <w:ind w:left="72" w:leftChars="30" w:right="30" w:rightChars="30" w:firstLine="420" w:firstLineChars="100"/>
      <w:jc w:val="center"/>
      <w:textAlignment w:val="baseline"/>
    </w:pPr>
    <w:rPr>
      <w:rFonts w:ascii="Times New Roman" w:hAnsi="Times New Roman"/>
      <w:kern w:val="0"/>
      <w:sz w:val="16"/>
      <w:szCs w:val="20"/>
    </w:rPr>
  </w:style>
  <w:style w:type="paragraph" w:styleId="6">
    <w:name w:val="Body Text"/>
    <w:basedOn w:val="1"/>
    <w:next w:val="7"/>
    <w:qFormat/>
    <w:uiPriority w:val="0"/>
    <w:pPr>
      <w:spacing w:beforeAutospacing="0" w:after="120" w:afterAutospacing="0"/>
    </w:pPr>
    <w:rPr>
      <w:rFonts w:ascii="Calibri" w:hAnsi="Calibri" w:eastAsia="宋体" w:cs="Times New Roman"/>
    </w:rPr>
  </w:style>
  <w:style w:type="paragraph" w:styleId="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Emphasis"/>
    <w:basedOn w:val="10"/>
    <w:qFormat/>
    <w:uiPriority w:val="0"/>
    <w:rPr>
      <w:i/>
    </w:rPr>
  </w:style>
  <w:style w:type="character" w:styleId="12">
    <w:name w:val="Hyperlink"/>
    <w:basedOn w:val="10"/>
    <w:qFormat/>
    <w:uiPriority w:val="0"/>
    <w:rPr>
      <w:color w:val="0000FF"/>
      <w:u w:val="single"/>
    </w:rPr>
  </w:style>
  <w:style w:type="paragraph" w:customStyle="1" w:styleId="14">
    <w:name w:val="样式1"/>
    <w:basedOn w:val="1"/>
    <w:qFormat/>
    <w:uiPriority w:val="0"/>
    <w:rPr>
      <w:rFonts w:eastAsia="仿宋" w:asciiTheme="minorAscii" w:hAnsiTheme="minorAscii"/>
      <w:sz w:val="32"/>
    </w:rPr>
  </w:style>
  <w:style w:type="character" w:customStyle="1" w:styleId="15">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11</Pages>
  <Words>5776</Words>
  <Characters>5900</Characters>
  <Lines>0</Lines>
  <Paragraphs>0</Paragraphs>
  <TotalTime>1</TotalTime>
  <ScaleCrop>false</ScaleCrop>
  <LinksUpToDate>false</LinksUpToDate>
  <CharactersWithSpaces>5903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zyl</cp:lastModifiedBy>
  <dcterms:modified xsi:type="dcterms:W3CDTF">2023-05-31T07:57:57Z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A5D0C13554E14D4BABAA55232A9E3298_13</vt:lpwstr>
  </property>
</Properties>
</file>