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同江市2021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涉农整合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资金绩效自评报告</w:t>
      </w:r>
    </w:p>
    <w:p>
      <w:pPr>
        <w:snapToGrid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现将同江市2021年度涉农整合资金绩效自评有关情况报告如下：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一、绩效目标分解下达情况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根据我市工作实际，在“因需而整”的前提下“应整尽整”，2021年计划统筹整合财政涉农资金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12169.59</w:t>
      </w:r>
      <w:r>
        <w:rPr>
          <w:rFonts w:hint="eastAsia" w:ascii="Times New Roman" w:hAnsi="Times New Roman" w:eastAsia="仿宋_GB2312"/>
          <w:sz w:val="32"/>
          <w:szCs w:val="32"/>
        </w:rPr>
        <w:t>万元，具体为：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（一）中央财政资金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7412.03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>包括：中央财政衔接推进乡村振兴补助资金（巩固拓展脱贫攻坚成果和乡村振兴任务）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3840</w:t>
      </w:r>
      <w:r>
        <w:rPr>
          <w:rFonts w:hint="eastAsia" w:ascii="Times New Roman" w:hAnsi="Times New Roman" w:eastAsia="仿宋_GB2312"/>
          <w:sz w:val="32"/>
          <w:szCs w:val="32"/>
        </w:rPr>
        <w:t>万元，中央财政衔接推进乡村振兴补助资金（少数民族发展任务）1026万元，农田建设补助资金2546.03万元。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（二）省级财政资金3959万元。</w:t>
      </w:r>
      <w:r>
        <w:rPr>
          <w:rFonts w:hint="eastAsia" w:ascii="Times New Roman" w:hAnsi="Times New Roman" w:eastAsia="仿宋_GB2312"/>
          <w:sz w:val="32"/>
          <w:szCs w:val="32"/>
        </w:rPr>
        <w:t>均为省级财政衔接推进乡村振兴补助资金。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（三）县级财政资金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665.1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（四）以前年度结余资金133.46万元。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资金投向及项目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（一）农业生产发展项目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计划实施17个农业生产发展项目，投入涉农整合资金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6410.56</w:t>
      </w:r>
      <w:r>
        <w:rPr>
          <w:rFonts w:hint="eastAsia" w:ascii="Times New Roman" w:hAnsi="Times New Roman" w:eastAsia="仿宋_GB2312"/>
          <w:sz w:val="32"/>
          <w:szCs w:val="32"/>
        </w:rPr>
        <w:t>万元，具体项目为：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1、乐业镇东方红村豆制品加工项目污水处理配套（二期），计划投资130万元。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2、向阳镇奋斗村肉牛养殖项目，计划投资300万元。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3、向阳镇东升村养殖小区二期，计划投资270万元。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4、向阳镇向阳村秸秆打包网生产项目三期，计划投资450万元。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5、同江镇胜利村产品加工展示中心，计划投资140万元。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6、同江镇胜利村粘水稻烘干塔项目，计划投资395万元。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7、三村镇新富村大米生产线项目，计划投资280万元。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8、街津口乡卫垦村小麦仓储烘干项目，计划投资263万元。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9、临江镇富国村有机肥加工配套设施项目，计划投资380万元。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10、八岔赫哲族乡八岔村鱼制品加工厂建设项目，计划投资320万元。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11、八岔赫哲族乡八岔村鲜食玉米加工项目，计划投资400万元。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12、金川乡金江村种猪繁育场建设项目，计划投资289万元。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13、银川乡银河村佳业秸秆饲料加工及仓储项目，计划投资292万元。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14、街津口赫哲族乡卫国村温室果蔬综合种植项目，计划投资700万元。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15、向阳镇编织袋编织机械购置项目，计划投资1336万元。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16、小额信贷贴息项目1个，计划投入资金98.5万元。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17、小额信贷风险补偿金1个，计划投入资金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367.06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（二）农村基础设施建设项目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计划实施3类农村基础设施建设项目，投入涉农整合资金5050.2元，具体项目为：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计划投入资金274.5万元，在临江镇2个村屯建设粮食晾晒场13164.2平方米。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计划投入资金929万元，在4个乡镇4个村建设村内道路硬化13公里。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</w:rPr>
        <w:t>计划投入资金3846.7万元，在8个乡镇19个村建设农田路115公里。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（三）其它项目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计划实施2类项目，投入涉农整合资金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708.83</w:t>
      </w:r>
      <w:r>
        <w:rPr>
          <w:rFonts w:hint="eastAsia" w:ascii="Times New Roman" w:hAnsi="Times New Roman" w:eastAsia="仿宋_GB2312"/>
          <w:sz w:val="32"/>
          <w:szCs w:val="32"/>
        </w:rPr>
        <w:t>万元，具体项目为：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1、雨露计划项目1个，计划投入资金2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2.05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2、项目管理费686.78万元。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、绩效目标完成情况分析</w:t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（一）资金投入情况分析。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1．项目资金到位情况分析。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省级专项资金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12169.59</w:t>
      </w:r>
      <w:r>
        <w:rPr>
          <w:rFonts w:ascii="Times New Roman" w:hAnsi="Times New Roman" w:eastAsia="仿宋_GB2312"/>
          <w:sz w:val="32"/>
          <w:szCs w:val="32"/>
        </w:rPr>
        <w:t>万元，项目资金已全部到位。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2．项目资金执行情况分析。</w:t>
      </w:r>
      <w:r>
        <w:rPr>
          <w:rFonts w:ascii="Times New Roman" w:hAnsi="Times New Roman" w:eastAsia="仿宋_GB2312"/>
          <w:sz w:val="32"/>
          <w:szCs w:val="32"/>
        </w:rPr>
        <w:t>截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目前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已拨付</w:t>
      </w:r>
      <w:r>
        <w:rPr>
          <w:rFonts w:ascii="Times New Roman" w:hAnsi="Times New Roman" w:eastAsia="仿宋_GB2312"/>
          <w:sz w:val="32"/>
          <w:szCs w:val="32"/>
        </w:rPr>
        <w:t>项目资金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11220.36</w:t>
      </w:r>
      <w:r>
        <w:rPr>
          <w:rFonts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</w:rPr>
        <w:t>资金拨付</w:t>
      </w:r>
      <w:r>
        <w:rPr>
          <w:rFonts w:ascii="Times New Roman" w:hAnsi="Times New Roman" w:eastAsia="仿宋_GB2312"/>
          <w:sz w:val="32"/>
          <w:szCs w:val="32"/>
        </w:rPr>
        <w:t>率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92.2</w:t>
      </w:r>
      <w:r>
        <w:rPr>
          <w:rFonts w:ascii="Times New Roman" w:hAnsi="Times New Roman" w:eastAsia="仿宋_GB2312"/>
          <w:sz w:val="32"/>
          <w:szCs w:val="32"/>
        </w:rPr>
        <w:t>%。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3．项目资金管理情况分析。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我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资金使用</w:t>
      </w:r>
      <w:r>
        <w:rPr>
          <w:rFonts w:ascii="Times New Roman" w:hAnsi="Times New Roman" w:eastAsia="仿宋_GB2312"/>
          <w:color w:val="000000"/>
          <w:sz w:val="32"/>
          <w:szCs w:val="32"/>
        </w:rPr>
        <w:t>严格按照《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黑龙江省财政厅等六部门关于印发《黑龙江省财政衔接推进乡村振兴补助资金管理办法》的通知</w:t>
      </w:r>
      <w:r>
        <w:rPr>
          <w:rFonts w:ascii="Times New Roman" w:hAnsi="Times New Roman" w:eastAsia="仿宋_GB2312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黑财规审〔2021〕13号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等相关规定，</w:t>
      </w:r>
      <w:r>
        <w:rPr>
          <w:rFonts w:hint="eastAsia" w:ascii="仿宋" w:hAnsi="仿宋" w:eastAsia="仿宋" w:cs="仿宋"/>
          <w:bCs/>
          <w:sz w:val="32"/>
          <w:szCs w:val="32"/>
        </w:rPr>
        <w:t>规范</w:t>
      </w:r>
      <w:r>
        <w:rPr>
          <w:rFonts w:ascii="Times New Roman" w:hAnsi="Times New Roman" w:eastAsia="仿宋_GB2312"/>
          <w:color w:val="000000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使用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确保资金安全、规范、高效使用，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资金使用过程中无</w:t>
      </w:r>
      <w:r>
        <w:rPr>
          <w:rFonts w:hint="eastAsia" w:ascii="仿宋" w:hAnsi="仿宋" w:eastAsia="仿宋" w:cs="仿宋"/>
          <w:sz w:val="32"/>
          <w:szCs w:val="32"/>
        </w:rPr>
        <w:t>虚报、冒领、挤占、挪用等违法的行为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（二）绩效目标完成情况分析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1．产出指标完成情况分析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数量指标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/>
          <w:bCs/>
          <w:sz w:val="32"/>
          <w:szCs w:val="32"/>
        </w:rPr>
        <w:t>年规划实施项目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bCs/>
          <w:sz w:val="32"/>
          <w:szCs w:val="32"/>
        </w:rPr>
        <w:t>个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</w:rPr>
        <w:t>其中，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产业</w:t>
      </w:r>
      <w:r>
        <w:rPr>
          <w:rFonts w:hint="eastAsia" w:ascii="Times New Roman" w:hAnsi="Times New Roman" w:eastAsia="仿宋_GB2312"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17个，基础设施项目3个，其他项目2个。其中，产业项目投入占总比54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，符合我市巩固脱贫攻坚成果需要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二是质量指标，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工程验收合格率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已建工程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</w:t>
      </w:r>
      <w:r>
        <w:rPr>
          <w:rFonts w:hint="eastAsia" w:ascii="Times New Roman" w:hAnsi="Times New Roman" w:eastAsia="仿宋_GB2312"/>
          <w:sz w:val="32"/>
          <w:szCs w:val="32"/>
        </w:rPr>
        <w:t>存在质量问题。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三是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时效指标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截至2021年底，投资完成比例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92%，资金拨付率及时率100%，按形象进度进行拨款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四是</w:t>
      </w:r>
      <w:r>
        <w:rPr>
          <w:rFonts w:ascii="Times New Roman" w:hAnsi="Times New Roman" w:eastAsia="仿宋_GB2312"/>
          <w:b/>
          <w:bCs/>
          <w:sz w:val="32"/>
          <w:szCs w:val="32"/>
        </w:rPr>
        <w:t>成本指标。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所有项目控制在评审价内。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/>
          <w:color w:val="0000FF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</w:rPr>
        <w:t>．</w:t>
      </w:r>
      <w:r>
        <w:rPr>
          <w:rFonts w:ascii="Times New Roman" w:hAnsi="Times New Roman" w:eastAsia="仿宋_GB2312"/>
          <w:b/>
          <w:sz w:val="32"/>
          <w:szCs w:val="32"/>
        </w:rPr>
        <w:t>效益指标完成情况分析。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经济效益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收益类资产收益率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5%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新宋体" w:eastAsia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社会效益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项目竣工后，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全市</w:t>
      </w:r>
      <w:r>
        <w:rPr>
          <w:rFonts w:hint="eastAsia" w:ascii="Times New Roman" w:hAnsi="Times New Roman" w:eastAsia="仿宋_GB2312"/>
          <w:bCs/>
          <w:sz w:val="32"/>
          <w:szCs w:val="32"/>
        </w:rPr>
        <w:t>受益群众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1725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户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3165人。</w:t>
      </w:r>
      <w:r>
        <w:rPr>
          <w:rFonts w:hint="eastAsia" w:ascii="仿宋_GB2312" w:hAnsi="新宋体" w:eastAsia="仿宋_GB2312"/>
          <w:b w:val="0"/>
          <w:bCs w:val="0"/>
          <w:sz w:val="32"/>
          <w:szCs w:val="32"/>
          <w:lang w:val="en-US" w:eastAsia="zh-CN"/>
        </w:rPr>
        <w:t>三是可持续影响，</w:t>
      </w:r>
      <w:r>
        <w:rPr>
          <w:rFonts w:hint="eastAsia" w:ascii="Times New Roman" w:hAnsi="Times New Roman" w:eastAsia="仿宋_GB2312"/>
          <w:sz w:val="32"/>
          <w:szCs w:val="32"/>
        </w:rPr>
        <w:t>持续带动脱贫户稳定增收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100%，已建工程全部良性运行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3.满意度指标完成情况分析。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在项目实施过程中，我市</w:t>
      </w:r>
      <w:r>
        <w:rPr>
          <w:rFonts w:ascii="Times New Roman" w:hAnsi="Times New Roman" w:eastAsia="仿宋"/>
          <w:kern w:val="0"/>
          <w:sz w:val="32"/>
          <w:szCs w:val="32"/>
        </w:rPr>
        <w:t>坚持把宣传发动贯穿于项目实施的全过程。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做好项目宣传和公示公告工作，让群众知晓项目，积极参与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项目监督工作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</w:t>
      </w:r>
      <w:r>
        <w:rPr>
          <w:rFonts w:ascii="Times New Roman" w:hAnsi="Times New Roman" w:eastAsia="仿宋"/>
          <w:kern w:val="0"/>
          <w:sz w:val="32"/>
          <w:szCs w:val="32"/>
        </w:rPr>
        <w:t>，让项目村群众认识和了解中央专项彩票公益金扶贫项目的宗旨、目标、原则、资金规模以及管理要求等，使村民真正参与到的项目规划、实施、监督以及后续管理等全过程，激发农户参与项目的积极性和主动性。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通过形式多样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新宋体" w:eastAsia="仿宋_GB2312"/>
          <w:bCs/>
          <w:color w:val="000000"/>
          <w:sz w:val="32"/>
          <w:szCs w:val="32"/>
        </w:rPr>
        <w:t>项目区群众对项目</w:t>
      </w:r>
      <w:r>
        <w:rPr>
          <w:rFonts w:hint="eastAsia" w:ascii="仿宋_GB2312" w:hAnsi="新宋体" w:eastAsia="仿宋_GB2312"/>
          <w:bCs/>
          <w:color w:val="auto"/>
          <w:sz w:val="32"/>
          <w:szCs w:val="32"/>
        </w:rPr>
        <w:t>满意度达到</w:t>
      </w:r>
      <w:r>
        <w:rPr>
          <w:rFonts w:hint="eastAsia" w:ascii="仿宋_GB2312" w:hAnsi="新宋体" w:eastAsia="仿宋_GB2312"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新宋体" w:eastAsia="仿宋_GB2312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、存在问题和下一步改进措施</w:t>
      </w:r>
    </w:p>
    <w:p>
      <w:pPr>
        <w:spacing w:line="560" w:lineRule="exact"/>
        <w:ind w:firstLine="643" w:firstLineChars="200"/>
        <w:rPr>
          <w:rFonts w:hint="eastAsia" w:ascii="仿宋_GB2312" w:hAnsi="新宋体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（一）存在问题：</w:t>
      </w:r>
      <w:r>
        <w:rPr>
          <w:rFonts w:hint="eastAsia" w:ascii="仿宋_GB2312" w:hAnsi="新宋体" w:eastAsia="仿宋_GB2312" w:cs="仿宋"/>
          <w:b w:val="0"/>
          <w:bCs w:val="0"/>
          <w:sz w:val="32"/>
          <w:szCs w:val="32"/>
          <w:lang w:val="en-US" w:eastAsia="zh-CN"/>
        </w:rPr>
        <w:t>一是7-9月份水位不断上涨，强降雨天气极其频繁，而且持续时间长、降雨量大，洪涝灾害严重，导致相关施工场地大面积积水无法正常施工。二是部分全国地区限电，造成采购的设备未按规定期限交付。三是进入10月份以来，又受疫情管控影响，部分项目施工人员、项目施工所需原材料以及采购的设备无法正常通行或进场。四是在11月期间，同江市遭遇自有气象记录以来的最强暴风雪天气，严重影响基础设施项目施工进度，造成资金支出进度明显下降。</w:t>
      </w:r>
    </w:p>
    <w:p>
      <w:pPr>
        <w:spacing w:line="560" w:lineRule="exact"/>
        <w:ind w:firstLine="643" w:firstLineChars="200"/>
        <w:rPr>
          <w:rFonts w:hint="eastAsia" w:ascii="黑体" w:hAnsi="黑体" w:eastAsia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（二）下一步工作措施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新宋体" w:eastAsia="仿宋_GB2312" w:cs="仿宋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建立月报机制，及时监测项目建设和资金支出进度，督促加快资金拨付。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继续加大项目管理工作力度，加快推进项目实施进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、绩效自评结果拟应用和公开情况</w:t>
      </w:r>
    </w:p>
    <w:p>
      <w:pPr>
        <w:numPr>
          <w:ilvl w:val="0"/>
          <w:numId w:val="0"/>
        </w:numPr>
        <w:wordWrap/>
        <w:adjustRightInd/>
        <w:snapToGrid/>
        <w:spacing w:before="0" w:after="0" w:line="520" w:lineRule="exact"/>
        <w:ind w:right="0" w:firstLine="56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省本级专项资金</w:t>
      </w:r>
      <w:r>
        <w:rPr>
          <w:rFonts w:hint="eastAsia" w:ascii="仿宋" w:hAnsi="仿宋" w:eastAsia="仿宋" w:cs="仿宋"/>
          <w:sz w:val="32"/>
          <w:szCs w:val="32"/>
        </w:rPr>
        <w:t>项目是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巩固脱贫攻坚成果同乡村振兴有效衔接重要保障工程</w:t>
      </w:r>
      <w:r>
        <w:rPr>
          <w:rFonts w:hint="eastAsia" w:ascii="仿宋" w:hAnsi="仿宋" w:eastAsia="仿宋" w:cs="仿宋"/>
          <w:sz w:val="32"/>
          <w:szCs w:val="32"/>
        </w:rPr>
        <w:t>，是为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</w:t>
      </w:r>
      <w:r>
        <w:rPr>
          <w:rFonts w:hint="eastAsia" w:ascii="仿宋" w:hAnsi="仿宋" w:eastAsia="仿宋" w:cs="仿宋"/>
          <w:sz w:val="32"/>
          <w:szCs w:val="32"/>
        </w:rPr>
        <w:t>地区的老百姓谋福祉的民生工程，实施好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省本级专项资金</w:t>
      </w:r>
      <w:r>
        <w:rPr>
          <w:rFonts w:hint="eastAsia" w:ascii="仿宋" w:hAnsi="仿宋" w:eastAsia="仿宋" w:cs="仿宋"/>
          <w:sz w:val="32"/>
          <w:szCs w:val="32"/>
        </w:rPr>
        <w:t>项目，意义重大。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本项目综合评价等次确定为优。</w:t>
      </w:r>
      <w:r>
        <w:rPr>
          <w:rFonts w:hint="eastAsia" w:ascii="仿宋" w:hAnsi="仿宋" w:eastAsia="仿宋" w:cs="仿宋"/>
          <w:sz w:val="32"/>
          <w:szCs w:val="32"/>
        </w:rPr>
        <w:t>绩效自评结果将作为下年度财政专项扶贫资金分配的依据，其结果将通过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同江政府网及村务公示栏</w:t>
      </w:r>
      <w:r>
        <w:rPr>
          <w:rFonts w:hint="eastAsia" w:ascii="仿宋" w:hAnsi="仿宋" w:eastAsia="仿宋" w:cs="仿宋"/>
          <w:sz w:val="32"/>
          <w:szCs w:val="32"/>
        </w:rPr>
        <w:t>向社会公开，接受社会监督。</w:t>
      </w:r>
    </w:p>
    <w:p/>
    <w:p>
      <w:pPr>
        <w:wordWrap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240" w:lineRule="auto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同江市乡村振兴局</w:t>
      </w:r>
    </w:p>
    <w:p>
      <w:pPr>
        <w:wordWrap/>
        <w:adjustRightInd/>
        <w:snapToGrid/>
        <w:spacing w:line="240" w:lineRule="auto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rPr>
                    <w:rStyle w:val="11"/>
                  </w:rPr>
                </w:pPr>
                <w:r>
                  <w:fldChar w:fldCharType="begin"/>
                </w:r>
                <w:r>
                  <w:rPr>
                    <w:rStyle w:val="11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1"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1D06BF"/>
    <w:rsid w:val="0AB57D72"/>
    <w:rsid w:val="15D3107D"/>
    <w:rsid w:val="1C4B573F"/>
    <w:rsid w:val="4C3D1447"/>
    <w:rsid w:val="4DC24835"/>
    <w:rsid w:val="575B4293"/>
    <w:rsid w:val="5A0152BA"/>
    <w:rsid w:val="5EF15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1398</Words>
  <Characters>1475</Characters>
  <Lines>0</Lines>
  <Paragraphs>0</Paragraphs>
  <TotalTime>11</TotalTime>
  <ScaleCrop>false</ScaleCrop>
  <LinksUpToDate>false</LinksUpToDate>
  <CharactersWithSpaces>1562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2017-03-23T01:31:00Z</dcterms:created>
  <dc:creator>Administrator</dc:creator>
  <cp:lastModifiedBy>112的大长腿</cp:lastModifiedBy>
  <cp:lastPrinted>2020-01-06T01:16:00Z</cp:lastPrinted>
  <dcterms:modified xsi:type="dcterms:W3CDTF">2022-08-20T09:57:27Z</dcterms:modified>
  <dc:title>                      同扶办联呈[2020]1号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B81277F79CAB43D98B43474995927E59</vt:lpwstr>
  </property>
</Properties>
</file>