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cs="宋体"/>
          <w:b/>
          <w:bCs/>
          <w:color w:val="auto"/>
          <w:sz w:val="32"/>
          <w:szCs w:val="32"/>
          <w:lang w:val="en-US" w:eastAsia="zh-CN"/>
        </w:rPr>
        <w:t>同江市</w:t>
      </w:r>
      <w:bookmarkStart w:id="0" w:name="_GoBack"/>
      <w:bookmarkEnd w:id="0"/>
      <w:r>
        <w:rPr>
          <w:rFonts w:ascii="宋体" w:hAnsi="宋体" w:eastAsia="宋体" w:cs="宋体"/>
          <w:b/>
          <w:color w:val="auto"/>
          <w:sz w:val="32"/>
          <w:u w:color="auto"/>
        </w:rPr>
        <w:t>儿童玩具</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3个</w:t>
      </w:r>
      <w:r>
        <w:rPr>
          <w:color w:val="000000"/>
          <w:szCs w:val="21"/>
        </w:rPr>
        <w:t>，其中</w:t>
      </w:r>
      <w:r>
        <w:rPr>
          <w:rFonts w:hint="eastAsia"/>
          <w:color w:val="auto"/>
          <w:szCs w:val="21"/>
          <w:lang w:val="en-US" w:eastAsia="zh-CN"/>
        </w:rPr>
        <w:t>2个</w:t>
      </w:r>
      <w:r>
        <w:rPr>
          <w:color w:val="000000"/>
          <w:szCs w:val="21"/>
        </w:rPr>
        <w:t>作为检验样品</w:t>
      </w:r>
      <w:r>
        <w:rPr>
          <w:rFonts w:hint="eastAsia"/>
          <w:color w:val="000000"/>
          <w:szCs w:val="21"/>
          <w:lang w:eastAsia="zh-CN"/>
        </w:rPr>
        <w:t>，</w:t>
      </w:r>
      <w:r>
        <w:rPr>
          <w:rFonts w:hint="eastAsia"/>
          <w:color w:val="auto"/>
          <w:szCs w:val="21"/>
          <w:lang w:val="en-US" w:eastAsia="zh-CN"/>
        </w:rPr>
        <w:t>1个</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正常使用（材料）</w:t>
            </w:r>
          </w:p>
        </w:tc>
        <w:tc>
          <w:tcPr>
            <w:tcW w:w="3473" w:type="dxa"/>
            <w:shd w:val="clear" w:color="auto" w:fill="auto"/>
            <w:vAlign w:val="center"/>
          </w:tcPr>
          <w:p w14:paraId="7F16C27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6675.2-2014</w:t>
            </w:r>
          </w:p>
        </w:tc>
      </w:tr>
      <w:tr w14:paraId="593AB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2116B99">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08DB699E">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正常使用（小零件）</w:t>
            </w:r>
          </w:p>
        </w:tc>
        <w:tc>
          <w:tcPr>
            <w:tcW w:w="3473" w:type="dxa"/>
            <w:shd w:val="clear" w:color="auto" w:fill="auto"/>
            <w:vAlign w:val="center"/>
          </w:tcPr>
          <w:p w14:paraId="14904AEE">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6675.2-2014</w:t>
            </w:r>
          </w:p>
        </w:tc>
      </w:tr>
      <w:tr w14:paraId="4F66E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E630149">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52AA4C41">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正常使用（可触及的金属或玻璃边缘）</w:t>
            </w:r>
          </w:p>
        </w:tc>
        <w:tc>
          <w:tcPr>
            <w:tcW w:w="3473" w:type="dxa"/>
            <w:shd w:val="clear" w:color="auto" w:fill="auto"/>
            <w:vAlign w:val="center"/>
          </w:tcPr>
          <w:p w14:paraId="7C3F29E4">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6675.2-2014</w:t>
            </w:r>
          </w:p>
        </w:tc>
      </w:tr>
      <w:tr w14:paraId="3E875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939" w:type="dxa"/>
            <w:vAlign w:val="center"/>
          </w:tcPr>
          <w:p w14:paraId="27504013">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7FC260F1">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正常使用（模塑玩具边缘）</w:t>
            </w:r>
          </w:p>
        </w:tc>
        <w:tc>
          <w:tcPr>
            <w:tcW w:w="3473" w:type="dxa"/>
            <w:shd w:val="clear" w:color="auto" w:fill="auto"/>
            <w:vAlign w:val="center"/>
          </w:tcPr>
          <w:p w14:paraId="36F3809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6675.2-2014</w:t>
            </w:r>
          </w:p>
        </w:tc>
      </w:tr>
      <w:tr w14:paraId="7E996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DB68C8A">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510722A7">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正常使用（可触及的锐利尖端 ）</w:t>
            </w:r>
          </w:p>
        </w:tc>
        <w:tc>
          <w:tcPr>
            <w:tcW w:w="3473" w:type="dxa"/>
            <w:shd w:val="clear" w:color="auto" w:fill="auto"/>
            <w:vAlign w:val="center"/>
          </w:tcPr>
          <w:p w14:paraId="3E27DA6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6675.2-2014</w:t>
            </w:r>
          </w:p>
        </w:tc>
      </w:tr>
      <w:tr w14:paraId="29B8E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49DB431">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2E60D34D">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正常使用（突出物）</w:t>
            </w:r>
          </w:p>
        </w:tc>
        <w:tc>
          <w:tcPr>
            <w:tcW w:w="3473" w:type="dxa"/>
            <w:shd w:val="clear" w:color="auto" w:fill="auto"/>
            <w:vAlign w:val="center"/>
          </w:tcPr>
          <w:p w14:paraId="58DFBBED">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6675.2-2014</w:t>
            </w:r>
          </w:p>
        </w:tc>
      </w:tr>
      <w:tr w14:paraId="41E8A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D824ADD">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23F9EEC2">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正常使用（活动部件间的间隙）</w:t>
            </w:r>
          </w:p>
        </w:tc>
        <w:tc>
          <w:tcPr>
            <w:tcW w:w="3473" w:type="dxa"/>
            <w:shd w:val="clear" w:color="auto" w:fill="auto"/>
            <w:vAlign w:val="center"/>
          </w:tcPr>
          <w:p w14:paraId="111BD9E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6675.2-2014</w:t>
            </w:r>
          </w:p>
        </w:tc>
      </w:tr>
      <w:tr w14:paraId="5A704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8AD82D8">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21D1C76F">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可预见的合理滥用（小零件）</w:t>
            </w:r>
          </w:p>
        </w:tc>
        <w:tc>
          <w:tcPr>
            <w:tcW w:w="3473" w:type="dxa"/>
            <w:shd w:val="clear" w:color="auto" w:fill="auto"/>
            <w:vAlign w:val="center"/>
          </w:tcPr>
          <w:p w14:paraId="34E9539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6675.2-2014</w:t>
            </w:r>
          </w:p>
        </w:tc>
      </w:tr>
      <w:tr w14:paraId="4B58E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E2A7F57">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506C705A">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可预见的合理滥用（小模塑玩具边缘）</w:t>
            </w:r>
          </w:p>
        </w:tc>
        <w:tc>
          <w:tcPr>
            <w:tcW w:w="3473" w:type="dxa"/>
            <w:shd w:val="clear" w:color="auto" w:fill="auto"/>
            <w:vAlign w:val="center"/>
          </w:tcPr>
          <w:p w14:paraId="5043BE1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6675.2-2014</w:t>
            </w:r>
          </w:p>
        </w:tc>
      </w:tr>
      <w:tr w14:paraId="2E267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BFEF9A3">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37EBD74A">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可预见的合理滥用（可触及的锐利尖端）</w:t>
            </w:r>
          </w:p>
        </w:tc>
        <w:tc>
          <w:tcPr>
            <w:tcW w:w="3473" w:type="dxa"/>
            <w:shd w:val="clear" w:color="auto" w:fill="auto"/>
            <w:vAlign w:val="center"/>
          </w:tcPr>
          <w:p w14:paraId="7C7B324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6675.2-2014</w:t>
            </w:r>
          </w:p>
        </w:tc>
      </w:tr>
      <w:tr w14:paraId="66F87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1891B15">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14:paraId="3A2B1F3F">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可预见的合理滥用（突出物）</w:t>
            </w:r>
          </w:p>
        </w:tc>
        <w:tc>
          <w:tcPr>
            <w:tcW w:w="3473" w:type="dxa"/>
            <w:shd w:val="clear" w:color="auto" w:fill="auto"/>
            <w:vAlign w:val="center"/>
          </w:tcPr>
          <w:p w14:paraId="475DE14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6675.2-2014</w:t>
            </w:r>
          </w:p>
        </w:tc>
      </w:tr>
      <w:tr w14:paraId="7EF64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9128B2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12</w:t>
            </w:r>
          </w:p>
        </w:tc>
        <w:tc>
          <w:tcPr>
            <w:tcW w:w="4110" w:type="dxa"/>
            <w:vAlign w:val="center"/>
          </w:tcPr>
          <w:p w14:paraId="060B4F2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可预见的合理滥用（活动部件间的间隙）</w:t>
            </w:r>
          </w:p>
        </w:tc>
        <w:tc>
          <w:tcPr>
            <w:tcW w:w="3473" w:type="dxa"/>
            <w:shd w:val="clear" w:color="auto" w:fill="auto"/>
            <w:vAlign w:val="center"/>
          </w:tcPr>
          <w:p w14:paraId="4C7A2AB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6675.2-2014</w:t>
            </w:r>
          </w:p>
        </w:tc>
      </w:tr>
      <w:tr w14:paraId="441CF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8F1841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13</w:t>
            </w:r>
          </w:p>
        </w:tc>
        <w:tc>
          <w:tcPr>
            <w:tcW w:w="4110" w:type="dxa"/>
            <w:vAlign w:val="center"/>
          </w:tcPr>
          <w:p w14:paraId="6DD5AF10">
            <w:pPr>
              <w:snapToGrid w:val="0"/>
              <w:spacing w:line="440" w:lineRule="exact"/>
              <w:jc w:val="center"/>
              <w:rPr>
                <w:rFonts w:hint="default" w:eastAsia="宋体"/>
                <w:color w:val="000000"/>
                <w:szCs w:val="21"/>
                <w:vertAlign w:val="baseline"/>
                <w:lang w:val="en-US" w:eastAsia="zh-CN"/>
              </w:rPr>
            </w:pPr>
            <w:r>
              <w:rPr>
                <w:rFonts w:hint="eastAsia"/>
                <w:bCs/>
                <w:kern w:val="0"/>
                <w:szCs w:val="21"/>
              </w:rPr>
              <w:t>特定元素的迁移</w:t>
            </w:r>
          </w:p>
        </w:tc>
        <w:tc>
          <w:tcPr>
            <w:tcW w:w="3473" w:type="dxa"/>
            <w:vAlign w:val="center"/>
          </w:tcPr>
          <w:p w14:paraId="35A4E306">
            <w:pPr>
              <w:snapToGrid w:val="0"/>
              <w:spacing w:line="440" w:lineRule="exact"/>
              <w:jc w:val="center"/>
              <w:rPr>
                <w:rFonts w:hint="eastAsia" w:ascii="Times New Roman" w:hAnsi="Times New Roman"/>
                <w:bCs/>
                <w:sz w:val="21"/>
                <w:szCs w:val="21"/>
              </w:rPr>
            </w:pPr>
            <w:r>
              <w:rPr>
                <w:rFonts w:hint="eastAsia" w:ascii="Times New Roman" w:hAnsi="Times New Roman"/>
                <w:bCs/>
                <w:sz w:val="21"/>
                <w:szCs w:val="21"/>
              </w:rPr>
              <w:t>GB 6675.4-2014</w:t>
            </w:r>
          </w:p>
          <w:p w14:paraId="509332FF">
            <w:pPr>
              <w:snapToGrid w:val="0"/>
              <w:spacing w:line="440" w:lineRule="exact"/>
              <w:jc w:val="center"/>
              <w:rPr>
                <w:rFonts w:hint="eastAsia" w:ascii="Times New Roman" w:hAnsi="Times New Roman"/>
                <w:bCs/>
                <w:sz w:val="21"/>
                <w:szCs w:val="21"/>
              </w:rPr>
            </w:pPr>
            <w:r>
              <w:rPr>
                <w:rFonts w:hint="eastAsia" w:ascii="Times New Roman" w:hAnsi="Times New Roman"/>
                <w:bCs/>
                <w:sz w:val="21"/>
                <w:szCs w:val="21"/>
              </w:rPr>
              <w:t>GB/T 32602-2016</w:t>
            </w:r>
          </w:p>
          <w:p w14:paraId="35898CCB">
            <w:pPr>
              <w:snapToGrid w:val="0"/>
              <w:spacing w:line="440" w:lineRule="exact"/>
              <w:jc w:val="center"/>
              <w:rPr>
                <w:rFonts w:hint="eastAsia" w:ascii="Times New Roman" w:hAnsi="Times New Roman"/>
                <w:bCs/>
                <w:sz w:val="21"/>
                <w:szCs w:val="21"/>
              </w:rPr>
            </w:pPr>
            <w:r>
              <w:rPr>
                <w:rFonts w:hint="eastAsia" w:ascii="Times New Roman" w:hAnsi="Times New Roman"/>
                <w:bCs/>
                <w:sz w:val="21"/>
                <w:szCs w:val="21"/>
              </w:rPr>
              <w:t>GB/T 32603-2016</w:t>
            </w:r>
          </w:p>
          <w:p w14:paraId="5D6EFDBA">
            <w:pPr>
              <w:snapToGrid w:val="0"/>
              <w:spacing w:line="440" w:lineRule="exact"/>
              <w:jc w:val="center"/>
              <w:rPr>
                <w:rFonts w:hint="default" w:eastAsia="宋体"/>
                <w:color w:val="000000"/>
                <w:szCs w:val="21"/>
                <w:vertAlign w:val="baseline"/>
                <w:lang w:val="en-US" w:eastAsia="zh-CN"/>
              </w:rPr>
            </w:pPr>
            <w:r>
              <w:rPr>
                <w:rFonts w:hint="eastAsia" w:ascii="Times New Roman" w:hAnsi="Times New Roman"/>
                <w:bCs/>
                <w:sz w:val="21"/>
                <w:szCs w:val="21"/>
              </w:rPr>
              <w:t>GB/T 30419-2013</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0AF39890">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6675.1-2014 玩具安全 第1部分：基本规范</w:t>
      </w:r>
    </w:p>
    <w:p w14:paraId="674FF341">
      <w:pPr>
        <w:adjustRightInd w:val="0"/>
        <w:snapToGrid w:val="0"/>
        <w:spacing w:line="440" w:lineRule="exact"/>
        <w:ind w:firstLine="420" w:firstLineChars="200"/>
        <w:rPr>
          <w:szCs w:val="21"/>
        </w:rPr>
      </w:pPr>
      <w:r>
        <w:rPr>
          <w:rFonts w:hint="eastAsia"/>
          <w:color w:val="000000"/>
          <w:szCs w:val="21"/>
          <w:lang w:val="en-US" w:eastAsia="zh-CN"/>
        </w:rPr>
        <w:t xml:space="preserve">GB 6675.2-2014 </w:t>
      </w:r>
      <w:r>
        <w:rPr>
          <w:szCs w:val="21"/>
        </w:rPr>
        <w:t>玩具安全 第2部分：机械与物理性能</w:t>
      </w:r>
    </w:p>
    <w:p w14:paraId="3422C6AC">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6675.3-2014玩具安全 第3部分：易燃性能</w:t>
      </w:r>
    </w:p>
    <w:p w14:paraId="780953D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6675.4-2014玩具安全 第4部分：特定元素的迁移</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E3A79FA-757E-4D56-A9B9-091F61E1E29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6E8ADEEF-B45B-4998-81DD-1792B3F0641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21EE1107"/>
    <w:rsid w:val="25DF3AF4"/>
    <w:rsid w:val="27701672"/>
    <w:rsid w:val="2ACD3FAF"/>
    <w:rsid w:val="369B4675"/>
    <w:rsid w:val="3AA82343"/>
    <w:rsid w:val="3BBD205C"/>
    <w:rsid w:val="3C9E39FD"/>
    <w:rsid w:val="44937F9B"/>
    <w:rsid w:val="4721404E"/>
    <w:rsid w:val="4AD36D9E"/>
    <w:rsid w:val="522E2F34"/>
    <w:rsid w:val="5551190C"/>
    <w:rsid w:val="5A567682"/>
    <w:rsid w:val="5C0748DB"/>
    <w:rsid w:val="625C73EB"/>
    <w:rsid w:val="656D4F75"/>
    <w:rsid w:val="660364FC"/>
    <w:rsid w:val="684A6664"/>
    <w:rsid w:val="6A7E6BAB"/>
    <w:rsid w:val="6A811342"/>
    <w:rsid w:val="6BD55B53"/>
    <w:rsid w:val="6D152F28"/>
    <w:rsid w:val="702B4DF4"/>
    <w:rsid w:val="72321ACB"/>
    <w:rsid w:val="75B01AD0"/>
    <w:rsid w:val="791E4FA3"/>
    <w:rsid w:val="7CB9602C"/>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864</Words>
  <Characters>1075</Characters>
  <Lines>0</Lines>
  <Paragraphs>0</Paragraphs>
  <TotalTime>1</TotalTime>
  <ScaleCrop>false</ScaleCrop>
  <LinksUpToDate>false</LinksUpToDate>
  <CharactersWithSpaces>1103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2026-01-22T02:42:43Z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91921420D9D74B2E819A9FD0BEE69AFF_13</vt:lpwstr>
  </property>
  <property fmtid="{D5CDD505-2E9C-101B-9397-08002B2CF9AE}" pid="4" name="KSOTemplateDocerSaveRecord">
    <vt:lpwstr>eyJoZGlkIjoiYzc5OTIyYjZlMjJmMmZjNWQxMTU1ZjJlZDkxZWM3OWUiLCJ1c2VySWQiOiIxNDQ1NjU1MDYxIn0=</vt:lpwstr>
  </property>
</Properties>
</file>