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读写台灯</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2055"/>
        <w:gridCol w:w="2055"/>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gridSpan w:val="2"/>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Merge w:val="restart"/>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2055" w:type="dxa"/>
            <w:vMerge w:val="restart"/>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w:t>
            </w:r>
          </w:p>
        </w:tc>
        <w:tc>
          <w:tcPr>
            <w:tcW w:w="2055" w:type="dxa"/>
            <w:vAlign w:val="center"/>
          </w:tcPr>
          <w:p w14:paraId="4233F96B">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走线槽</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7000.1-2023</w:t>
            </w:r>
          </w:p>
          <w:p w14:paraId="06B430F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7000.204-2023</w:t>
            </w:r>
          </w:p>
          <w:p w14:paraId="6CF2C9CE">
            <w:pPr>
              <w:snapToGrid w:val="0"/>
              <w:spacing w:line="440" w:lineRule="exact"/>
              <w:jc w:val="center"/>
              <w:rPr>
                <w:rFonts w:hint="eastAsia"/>
                <w:color w:val="000000"/>
                <w:szCs w:val="21"/>
                <w:lang w:val="en-US" w:eastAsia="zh-CN"/>
              </w:rPr>
            </w:pPr>
            <w:r>
              <w:rPr>
                <w:rFonts w:hint="eastAsia"/>
                <w:color w:val="000000"/>
                <w:szCs w:val="21"/>
                <w:lang w:val="en-US" w:eastAsia="zh-CN"/>
              </w:rPr>
              <w:t>GB 7000.1-2015</w:t>
            </w:r>
          </w:p>
          <w:p w14:paraId="4F872E47">
            <w:pPr>
              <w:snapToGrid w:val="0"/>
              <w:spacing w:line="440" w:lineRule="exact"/>
              <w:jc w:val="center"/>
              <w:rPr>
                <w:rFonts w:hint="default"/>
                <w:color w:val="000000"/>
                <w:szCs w:val="21"/>
                <w:lang w:val="en-US" w:eastAsia="zh-CN"/>
              </w:rPr>
            </w:pPr>
            <w:r>
              <w:rPr>
                <w:rFonts w:hint="eastAsia"/>
                <w:color w:val="000000"/>
                <w:szCs w:val="21"/>
                <w:lang w:val="en-US" w:eastAsia="zh-CN"/>
              </w:rPr>
              <w:t>GB 7000.204-2008</w:t>
            </w:r>
          </w:p>
        </w:tc>
      </w:tr>
      <w:tr w14:paraId="67684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Merge w:val="continue"/>
            <w:vAlign w:val="center"/>
          </w:tcPr>
          <w:p w14:paraId="0F423D46">
            <w:pPr>
              <w:snapToGrid w:val="0"/>
              <w:spacing w:line="440" w:lineRule="exact"/>
              <w:jc w:val="center"/>
              <w:rPr>
                <w:rFonts w:hint="eastAsia"/>
                <w:color w:val="000000"/>
                <w:szCs w:val="21"/>
                <w:vertAlign w:val="baseline"/>
                <w:lang w:val="en-US" w:eastAsia="zh-CN"/>
              </w:rPr>
            </w:pPr>
          </w:p>
        </w:tc>
        <w:tc>
          <w:tcPr>
            <w:tcW w:w="2055" w:type="dxa"/>
            <w:vMerge w:val="continue"/>
            <w:vAlign w:val="center"/>
          </w:tcPr>
          <w:p w14:paraId="5BCB421C">
            <w:pPr>
              <w:snapToGrid w:val="0"/>
              <w:spacing w:line="440" w:lineRule="exact"/>
              <w:jc w:val="center"/>
              <w:rPr>
                <w:rFonts w:hint="eastAsia"/>
                <w:color w:val="000000"/>
                <w:szCs w:val="21"/>
                <w:vertAlign w:val="baseline"/>
                <w:lang w:val="en-US" w:eastAsia="zh-CN"/>
              </w:rPr>
            </w:pPr>
          </w:p>
        </w:tc>
        <w:tc>
          <w:tcPr>
            <w:tcW w:w="2055" w:type="dxa"/>
            <w:vAlign w:val="center"/>
          </w:tcPr>
          <w:p w14:paraId="6830F6A0">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带有不可替换光源的灯具</w:t>
            </w:r>
          </w:p>
        </w:tc>
        <w:tc>
          <w:tcPr>
            <w:tcW w:w="3473" w:type="dxa"/>
            <w:vAlign w:val="center"/>
          </w:tcPr>
          <w:p w14:paraId="2536C67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7000.1-2023</w:t>
            </w:r>
          </w:p>
          <w:p w14:paraId="45C71CF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7000.204-2023</w:t>
            </w:r>
          </w:p>
          <w:p w14:paraId="6A0DFEDB">
            <w:pPr>
              <w:snapToGrid w:val="0"/>
              <w:spacing w:line="440" w:lineRule="exact"/>
              <w:jc w:val="center"/>
              <w:rPr>
                <w:rFonts w:hint="eastAsia"/>
                <w:color w:val="000000"/>
                <w:szCs w:val="21"/>
                <w:lang w:val="en-US" w:eastAsia="zh-CN"/>
              </w:rPr>
            </w:pPr>
            <w:r>
              <w:rPr>
                <w:rFonts w:hint="eastAsia"/>
                <w:color w:val="000000"/>
                <w:szCs w:val="21"/>
                <w:lang w:val="en-US" w:eastAsia="zh-CN"/>
              </w:rPr>
              <w:t>GB 7000.1-2015</w:t>
            </w:r>
          </w:p>
          <w:p w14:paraId="68BC2C6A">
            <w:pPr>
              <w:snapToGrid w:val="0"/>
              <w:spacing w:line="440" w:lineRule="exact"/>
              <w:jc w:val="center"/>
              <w:rPr>
                <w:rFonts w:hint="eastAsia"/>
                <w:color w:val="000000"/>
                <w:szCs w:val="21"/>
                <w:lang w:val="en-US" w:eastAsia="zh-CN"/>
              </w:rPr>
            </w:pPr>
            <w:r>
              <w:rPr>
                <w:rFonts w:hint="eastAsia"/>
                <w:color w:val="000000"/>
                <w:szCs w:val="21"/>
                <w:lang w:val="en-US" w:eastAsia="zh-CN"/>
              </w:rPr>
              <w:t>GB 7000.204-2008</w:t>
            </w:r>
          </w:p>
        </w:tc>
      </w:tr>
      <w:tr w14:paraId="7CC4B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Merge w:val="continue"/>
            <w:vAlign w:val="center"/>
          </w:tcPr>
          <w:p w14:paraId="42E01463">
            <w:pPr>
              <w:snapToGrid w:val="0"/>
              <w:spacing w:line="440" w:lineRule="exact"/>
              <w:jc w:val="center"/>
              <w:rPr>
                <w:rFonts w:hint="eastAsia"/>
                <w:color w:val="000000"/>
                <w:szCs w:val="21"/>
                <w:vertAlign w:val="baseline"/>
                <w:lang w:val="en-US" w:eastAsia="zh-CN"/>
              </w:rPr>
            </w:pPr>
          </w:p>
        </w:tc>
        <w:tc>
          <w:tcPr>
            <w:tcW w:w="2055" w:type="dxa"/>
            <w:vMerge w:val="continue"/>
            <w:vAlign w:val="center"/>
          </w:tcPr>
          <w:p w14:paraId="4381E3B9">
            <w:pPr>
              <w:snapToGrid w:val="0"/>
              <w:spacing w:line="440" w:lineRule="exact"/>
              <w:jc w:val="center"/>
              <w:rPr>
                <w:rFonts w:hint="eastAsia"/>
                <w:color w:val="000000"/>
                <w:szCs w:val="21"/>
                <w:vertAlign w:val="baseline"/>
                <w:lang w:val="en-US" w:eastAsia="zh-CN"/>
              </w:rPr>
            </w:pPr>
          </w:p>
        </w:tc>
        <w:tc>
          <w:tcPr>
            <w:tcW w:w="2055" w:type="dxa"/>
            <w:vAlign w:val="center"/>
          </w:tcPr>
          <w:p w14:paraId="6BB61F90">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带有非用户替换光源的灯具</w:t>
            </w:r>
          </w:p>
        </w:tc>
        <w:tc>
          <w:tcPr>
            <w:tcW w:w="3473" w:type="dxa"/>
            <w:vAlign w:val="center"/>
          </w:tcPr>
          <w:p w14:paraId="7D0C223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7000.1-2023</w:t>
            </w:r>
          </w:p>
          <w:p w14:paraId="5068A85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7000.204-2023</w:t>
            </w:r>
          </w:p>
          <w:p w14:paraId="0F9F2B1A">
            <w:pPr>
              <w:snapToGrid w:val="0"/>
              <w:spacing w:line="440" w:lineRule="exact"/>
              <w:jc w:val="center"/>
              <w:rPr>
                <w:rFonts w:hint="eastAsia"/>
                <w:color w:val="000000"/>
                <w:szCs w:val="21"/>
                <w:lang w:val="en-US" w:eastAsia="zh-CN"/>
              </w:rPr>
            </w:pPr>
            <w:r>
              <w:rPr>
                <w:rFonts w:hint="eastAsia"/>
                <w:color w:val="000000"/>
                <w:szCs w:val="21"/>
                <w:lang w:val="en-US" w:eastAsia="zh-CN"/>
              </w:rPr>
              <w:t>GB 7000.1-2015</w:t>
            </w:r>
          </w:p>
          <w:p w14:paraId="600E5987">
            <w:pPr>
              <w:snapToGrid w:val="0"/>
              <w:spacing w:line="440" w:lineRule="exact"/>
              <w:jc w:val="center"/>
              <w:rPr>
                <w:rFonts w:hint="eastAsia"/>
                <w:color w:val="000000"/>
                <w:szCs w:val="21"/>
                <w:lang w:val="en-US" w:eastAsia="zh-CN"/>
              </w:rPr>
            </w:pPr>
            <w:r>
              <w:rPr>
                <w:rFonts w:hint="eastAsia"/>
                <w:color w:val="000000"/>
                <w:szCs w:val="21"/>
                <w:lang w:val="en-US" w:eastAsia="zh-CN"/>
              </w:rPr>
              <w:t>GB 7000.204-2008</w:t>
            </w:r>
          </w:p>
        </w:tc>
      </w:tr>
      <w:tr w14:paraId="34D34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Merge w:val="continue"/>
            <w:vAlign w:val="center"/>
          </w:tcPr>
          <w:p w14:paraId="3EC2E54A">
            <w:pPr>
              <w:snapToGrid w:val="0"/>
              <w:spacing w:line="440" w:lineRule="exact"/>
              <w:jc w:val="center"/>
              <w:rPr>
                <w:rFonts w:hint="eastAsia"/>
                <w:color w:val="000000"/>
                <w:szCs w:val="21"/>
                <w:vertAlign w:val="baseline"/>
                <w:lang w:val="en-US" w:eastAsia="zh-CN"/>
              </w:rPr>
            </w:pPr>
          </w:p>
        </w:tc>
        <w:tc>
          <w:tcPr>
            <w:tcW w:w="2055" w:type="dxa"/>
            <w:vMerge w:val="continue"/>
            <w:vAlign w:val="center"/>
          </w:tcPr>
          <w:p w14:paraId="64EBCC06">
            <w:pPr>
              <w:snapToGrid w:val="0"/>
              <w:spacing w:line="440" w:lineRule="exact"/>
              <w:jc w:val="center"/>
              <w:rPr>
                <w:rFonts w:hint="eastAsia"/>
                <w:color w:val="000000"/>
                <w:szCs w:val="21"/>
                <w:vertAlign w:val="baseline"/>
                <w:lang w:val="en-US" w:eastAsia="zh-CN"/>
              </w:rPr>
            </w:pPr>
          </w:p>
        </w:tc>
        <w:tc>
          <w:tcPr>
            <w:tcW w:w="2055" w:type="dxa"/>
            <w:vAlign w:val="center"/>
          </w:tcPr>
          <w:p w14:paraId="76BBCD5D">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平稳度</w:t>
            </w:r>
          </w:p>
        </w:tc>
        <w:tc>
          <w:tcPr>
            <w:tcW w:w="3473" w:type="dxa"/>
            <w:vAlign w:val="center"/>
          </w:tcPr>
          <w:p w14:paraId="37CD2AD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7000.1-2023</w:t>
            </w:r>
          </w:p>
          <w:p w14:paraId="0C1AFAD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7000.204-2023</w:t>
            </w:r>
          </w:p>
          <w:p w14:paraId="09CCEA2C">
            <w:pPr>
              <w:snapToGrid w:val="0"/>
              <w:spacing w:line="440" w:lineRule="exact"/>
              <w:jc w:val="center"/>
              <w:rPr>
                <w:rFonts w:hint="eastAsia"/>
                <w:color w:val="000000"/>
                <w:szCs w:val="21"/>
                <w:lang w:val="en-US" w:eastAsia="zh-CN"/>
              </w:rPr>
            </w:pPr>
            <w:r>
              <w:rPr>
                <w:rFonts w:hint="eastAsia"/>
                <w:color w:val="000000"/>
                <w:szCs w:val="21"/>
                <w:lang w:val="en-US" w:eastAsia="zh-CN"/>
              </w:rPr>
              <w:t>GB 7000.1-2015</w:t>
            </w:r>
          </w:p>
          <w:p w14:paraId="6A217932">
            <w:pPr>
              <w:snapToGrid w:val="0"/>
              <w:spacing w:line="440" w:lineRule="exact"/>
              <w:jc w:val="center"/>
              <w:rPr>
                <w:rFonts w:hint="eastAsia"/>
                <w:color w:val="000000"/>
                <w:szCs w:val="21"/>
                <w:lang w:val="en-US" w:eastAsia="zh-CN"/>
              </w:rPr>
            </w:pPr>
            <w:r>
              <w:rPr>
                <w:rFonts w:hint="eastAsia"/>
                <w:color w:val="000000"/>
                <w:szCs w:val="21"/>
                <w:lang w:val="en-US" w:eastAsia="zh-CN"/>
              </w:rPr>
              <w:t>GB 7000.204-2008</w:t>
            </w:r>
          </w:p>
        </w:tc>
      </w:tr>
      <w:tr w14:paraId="6DE9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8FD5E2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gridSpan w:val="2"/>
            <w:vAlign w:val="center"/>
          </w:tcPr>
          <w:p w14:paraId="1FE6091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外部接线和内部接线</w:t>
            </w:r>
          </w:p>
        </w:tc>
        <w:tc>
          <w:tcPr>
            <w:tcW w:w="3473" w:type="dxa"/>
            <w:vAlign w:val="center"/>
          </w:tcPr>
          <w:p w14:paraId="32C1A02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7000.1-2023</w:t>
            </w:r>
          </w:p>
          <w:p w14:paraId="5E9CB96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7000.204-2023</w:t>
            </w:r>
          </w:p>
          <w:p w14:paraId="6ED79AA2">
            <w:pPr>
              <w:snapToGrid w:val="0"/>
              <w:spacing w:line="440" w:lineRule="exact"/>
              <w:jc w:val="center"/>
              <w:rPr>
                <w:rFonts w:hint="eastAsia"/>
                <w:color w:val="000000"/>
                <w:szCs w:val="21"/>
                <w:lang w:val="en-US" w:eastAsia="zh-CN"/>
              </w:rPr>
            </w:pPr>
            <w:r>
              <w:rPr>
                <w:rFonts w:hint="eastAsia"/>
                <w:color w:val="000000"/>
                <w:szCs w:val="21"/>
                <w:lang w:val="en-US" w:eastAsia="zh-CN"/>
              </w:rPr>
              <w:t>GB 7000.1-2015</w:t>
            </w:r>
          </w:p>
          <w:p w14:paraId="18D2F1C5">
            <w:pPr>
              <w:snapToGrid w:val="0"/>
              <w:spacing w:line="440" w:lineRule="exact"/>
              <w:jc w:val="center"/>
              <w:rPr>
                <w:rFonts w:hint="default"/>
                <w:color w:val="000000"/>
                <w:szCs w:val="21"/>
                <w:lang w:val="en-US" w:eastAsia="zh-CN"/>
              </w:rPr>
            </w:pPr>
            <w:r>
              <w:rPr>
                <w:rFonts w:hint="eastAsia"/>
                <w:color w:val="000000"/>
                <w:szCs w:val="21"/>
                <w:lang w:val="en-US" w:eastAsia="zh-CN"/>
              </w:rPr>
              <w:t>GB 7000.204-2008</w:t>
            </w:r>
          </w:p>
        </w:tc>
      </w:tr>
      <w:tr w14:paraId="18C8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20EEF4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gridSpan w:val="2"/>
            <w:vAlign w:val="center"/>
          </w:tcPr>
          <w:p w14:paraId="31448FE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防触电保护</w:t>
            </w:r>
          </w:p>
        </w:tc>
        <w:tc>
          <w:tcPr>
            <w:tcW w:w="3473" w:type="dxa"/>
            <w:vAlign w:val="center"/>
          </w:tcPr>
          <w:p w14:paraId="161547B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7000.1-2023</w:t>
            </w:r>
          </w:p>
          <w:p w14:paraId="47ECAE5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7000.204-2023</w:t>
            </w:r>
          </w:p>
          <w:p w14:paraId="39379C8B">
            <w:pPr>
              <w:snapToGrid w:val="0"/>
              <w:spacing w:line="440" w:lineRule="exact"/>
              <w:jc w:val="center"/>
              <w:rPr>
                <w:rFonts w:hint="eastAsia"/>
                <w:color w:val="000000"/>
                <w:szCs w:val="21"/>
                <w:lang w:val="en-US" w:eastAsia="zh-CN"/>
              </w:rPr>
            </w:pPr>
            <w:r>
              <w:rPr>
                <w:rFonts w:hint="eastAsia"/>
                <w:color w:val="000000"/>
                <w:szCs w:val="21"/>
                <w:lang w:val="en-US" w:eastAsia="zh-CN"/>
              </w:rPr>
              <w:t>GB 7000.1-2015</w:t>
            </w:r>
          </w:p>
          <w:p w14:paraId="3B86678F">
            <w:pPr>
              <w:snapToGrid w:val="0"/>
              <w:spacing w:line="440" w:lineRule="exact"/>
              <w:jc w:val="center"/>
              <w:rPr>
                <w:rFonts w:hint="default"/>
                <w:color w:val="000000"/>
                <w:szCs w:val="21"/>
                <w:lang w:val="en-US" w:eastAsia="zh-CN"/>
              </w:rPr>
            </w:pPr>
            <w:r>
              <w:rPr>
                <w:rFonts w:hint="eastAsia"/>
                <w:color w:val="000000"/>
                <w:szCs w:val="21"/>
                <w:lang w:val="en-US" w:eastAsia="zh-CN"/>
              </w:rPr>
              <w:t>GB 7000.204-2008</w:t>
            </w:r>
          </w:p>
        </w:tc>
      </w:tr>
      <w:tr w14:paraId="571AB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DE4E96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gridSpan w:val="2"/>
            <w:vAlign w:val="center"/>
          </w:tcPr>
          <w:p w14:paraId="569FAC4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耐久性试验</w:t>
            </w:r>
          </w:p>
        </w:tc>
        <w:tc>
          <w:tcPr>
            <w:tcW w:w="3473" w:type="dxa"/>
            <w:vAlign w:val="center"/>
          </w:tcPr>
          <w:p w14:paraId="3B131F6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7000.1-2023</w:t>
            </w:r>
          </w:p>
          <w:p w14:paraId="5D04F31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7000.204-2023</w:t>
            </w:r>
          </w:p>
          <w:p w14:paraId="4AC5041E">
            <w:pPr>
              <w:snapToGrid w:val="0"/>
              <w:spacing w:line="440" w:lineRule="exact"/>
              <w:jc w:val="center"/>
              <w:rPr>
                <w:rFonts w:hint="eastAsia"/>
                <w:color w:val="000000"/>
                <w:szCs w:val="21"/>
                <w:lang w:val="en-US" w:eastAsia="zh-CN"/>
              </w:rPr>
            </w:pPr>
            <w:r>
              <w:rPr>
                <w:rFonts w:hint="eastAsia"/>
                <w:color w:val="000000"/>
                <w:szCs w:val="21"/>
                <w:lang w:val="en-US" w:eastAsia="zh-CN"/>
              </w:rPr>
              <w:t>GB 7000.1-2015</w:t>
            </w:r>
          </w:p>
          <w:p w14:paraId="53221330">
            <w:pPr>
              <w:snapToGrid w:val="0"/>
              <w:spacing w:line="440" w:lineRule="exact"/>
              <w:jc w:val="center"/>
              <w:rPr>
                <w:rFonts w:hint="default"/>
                <w:color w:val="000000"/>
                <w:szCs w:val="21"/>
                <w:lang w:val="en-US" w:eastAsia="zh-CN"/>
              </w:rPr>
            </w:pPr>
            <w:r>
              <w:rPr>
                <w:rFonts w:hint="eastAsia"/>
                <w:color w:val="000000"/>
                <w:szCs w:val="21"/>
                <w:lang w:val="en-US" w:eastAsia="zh-CN"/>
              </w:rPr>
              <w:t>GB 7000.204-2008</w:t>
            </w:r>
          </w:p>
        </w:tc>
      </w:tr>
      <w:tr w14:paraId="2E84C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7E29E0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gridSpan w:val="2"/>
            <w:vAlign w:val="center"/>
          </w:tcPr>
          <w:p w14:paraId="676626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耐热、耐火和耐起痕</w:t>
            </w:r>
          </w:p>
        </w:tc>
        <w:tc>
          <w:tcPr>
            <w:tcW w:w="3473" w:type="dxa"/>
            <w:vAlign w:val="center"/>
          </w:tcPr>
          <w:p w14:paraId="6296C5C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7000.1-2023</w:t>
            </w:r>
          </w:p>
          <w:p w14:paraId="7F95FB6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7000.204-2023</w:t>
            </w:r>
          </w:p>
          <w:p w14:paraId="3D06B28A">
            <w:pPr>
              <w:snapToGrid w:val="0"/>
              <w:spacing w:line="440" w:lineRule="exact"/>
              <w:jc w:val="center"/>
              <w:rPr>
                <w:rFonts w:hint="eastAsia"/>
                <w:color w:val="000000"/>
                <w:szCs w:val="21"/>
                <w:lang w:val="en-US" w:eastAsia="zh-CN"/>
              </w:rPr>
            </w:pPr>
            <w:r>
              <w:rPr>
                <w:rFonts w:hint="eastAsia"/>
                <w:color w:val="000000"/>
                <w:szCs w:val="21"/>
                <w:lang w:val="en-US" w:eastAsia="zh-CN"/>
              </w:rPr>
              <w:t>GB 7000.1-2015</w:t>
            </w:r>
          </w:p>
          <w:p w14:paraId="2410ECEF">
            <w:pPr>
              <w:snapToGrid w:val="0"/>
              <w:spacing w:line="440" w:lineRule="exact"/>
              <w:jc w:val="center"/>
              <w:rPr>
                <w:rFonts w:hint="default"/>
                <w:color w:val="000000"/>
                <w:szCs w:val="21"/>
                <w:lang w:val="en-US" w:eastAsia="zh-CN"/>
              </w:rPr>
            </w:pPr>
            <w:r>
              <w:rPr>
                <w:rFonts w:hint="eastAsia"/>
                <w:color w:val="000000"/>
                <w:szCs w:val="21"/>
                <w:lang w:val="en-US" w:eastAsia="zh-CN"/>
              </w:rPr>
              <w:t>GB 7000.204-2008</w:t>
            </w:r>
            <w:bookmarkStart w:id="0" w:name="_GoBack"/>
            <w:bookmarkEnd w:id="0"/>
          </w:p>
        </w:tc>
      </w:tr>
      <w:tr w14:paraId="7987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39" w:type="dxa"/>
            <w:vAlign w:val="center"/>
          </w:tcPr>
          <w:p w14:paraId="3E06ADC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gridSpan w:val="2"/>
            <w:vAlign w:val="center"/>
          </w:tcPr>
          <w:p w14:paraId="3B216F0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谐波电流限值</w:t>
            </w:r>
          </w:p>
        </w:tc>
        <w:tc>
          <w:tcPr>
            <w:tcW w:w="3473" w:type="dxa"/>
            <w:vAlign w:val="center"/>
          </w:tcPr>
          <w:p w14:paraId="116505F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17625.1-2022</w:t>
            </w:r>
          </w:p>
          <w:p w14:paraId="2BEE18C1">
            <w:pPr>
              <w:snapToGrid w:val="0"/>
              <w:spacing w:line="440" w:lineRule="exact"/>
              <w:jc w:val="center"/>
              <w:rPr>
                <w:rFonts w:hint="default" w:eastAsia="宋体"/>
                <w:color w:val="000000"/>
                <w:szCs w:val="21"/>
                <w:vertAlign w:val="baseline"/>
                <w:lang w:val="en-US" w:eastAsia="zh-CN"/>
              </w:rPr>
            </w:pPr>
            <w:r>
              <w:rPr>
                <w:szCs w:val="21"/>
              </w:rPr>
              <w:t>GB 17625.1</w:t>
            </w:r>
            <w:r>
              <w:rPr>
                <w:rFonts w:hint="eastAsia"/>
                <w:szCs w:val="21"/>
                <w:lang w:val="en-US" w:eastAsia="zh-CN"/>
              </w:rPr>
              <w:t>-</w:t>
            </w:r>
            <w:r>
              <w:rPr>
                <w:szCs w:val="21"/>
              </w:rPr>
              <w:t>2012</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9473-2022读写作业台灯性能要求</w:t>
      </w:r>
    </w:p>
    <w:p w14:paraId="77F9713B">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7000.204-2008 灯具 第2-4部分：特殊要求 可移式通用灯具</w:t>
      </w:r>
    </w:p>
    <w:p w14:paraId="2286C963">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7000.1-2015 灯具 第1部分：一般要求与试验</w:t>
      </w:r>
    </w:p>
    <w:p w14:paraId="04033983">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7000.1-2023灯具 第1部分：一般要求与试验</w:t>
      </w:r>
    </w:p>
    <w:p w14:paraId="46321CFF">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7000.204-2023灯具 第2-4部分：特殊要求 可移式通用灯具</w:t>
      </w:r>
    </w:p>
    <w:p w14:paraId="4737BE53">
      <w:pPr>
        <w:snapToGrid w:val="0"/>
        <w:spacing w:line="440" w:lineRule="exact"/>
        <w:ind w:firstLine="420" w:firstLineChars="0"/>
        <w:rPr>
          <w:rFonts w:hint="eastAsia" w:ascii="Times New Roman" w:hAnsi="Times New Roman" w:eastAsia="宋体" w:cs="Times New Roman"/>
          <w:szCs w:val="21"/>
        </w:rPr>
      </w:pPr>
      <w:r>
        <w:rPr>
          <w:rFonts w:hint="eastAsia"/>
          <w:color w:val="000000"/>
          <w:szCs w:val="21"/>
          <w:lang w:val="en-US" w:eastAsia="zh-CN"/>
        </w:rPr>
        <w:t>GB 17625.1-2022</w:t>
      </w:r>
      <w:r>
        <w:rPr>
          <w:rFonts w:hint="eastAsia" w:ascii="Times New Roman" w:hAnsi="Times New Roman" w:eastAsia="宋体" w:cs="Times New Roman"/>
          <w:szCs w:val="21"/>
        </w:rPr>
        <w:t>电磁兼容 限值 第1部分：谐波电流发射限值（设备每相输入电流≤16A）</w:t>
      </w:r>
    </w:p>
    <w:p w14:paraId="74307B1A">
      <w:pPr>
        <w:snapToGrid w:val="0"/>
        <w:spacing w:line="440" w:lineRule="exact"/>
        <w:ind w:firstLine="359" w:firstLineChars="171"/>
        <w:rPr>
          <w:rFonts w:hint="eastAsia" w:ascii="Times New Roman" w:hAnsi="Times New Roman" w:eastAsia="宋体" w:cs="Times New Roman"/>
          <w:szCs w:val="21"/>
        </w:rPr>
      </w:pPr>
      <w:r>
        <w:rPr>
          <w:szCs w:val="21"/>
        </w:rPr>
        <w:t>GB 17625.1—2012 电磁兼容  限值 谐波电流发射限值（设备每相输入电流</w:t>
      </w:r>
      <w:r>
        <w:rPr>
          <w:rFonts w:hint="eastAsia"/>
          <w:color w:val="000000"/>
          <w:szCs w:val="21"/>
        </w:rPr>
        <w:t>≤</w:t>
      </w:r>
      <w:r>
        <w:rPr>
          <w:szCs w:val="21"/>
        </w:rPr>
        <w:t>16A）</w:t>
      </w:r>
    </w:p>
    <w:p w14:paraId="66A7F26E">
      <w:pPr>
        <w:snapToGrid w:val="0"/>
        <w:spacing w:line="440" w:lineRule="exact"/>
        <w:ind w:firstLine="420" w:firstLineChars="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C74142F-D6A6-438C-BB69-67CF9A2409F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42C695F6-C506-4FBB-B14F-7AF8EAD17B3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C641F6D"/>
    <w:rsid w:val="0D19796D"/>
    <w:rsid w:val="13FF0EC0"/>
    <w:rsid w:val="18633210"/>
    <w:rsid w:val="19E4761E"/>
    <w:rsid w:val="1B403722"/>
    <w:rsid w:val="1C0910BF"/>
    <w:rsid w:val="1CF163A7"/>
    <w:rsid w:val="21EE1107"/>
    <w:rsid w:val="25DF3AF4"/>
    <w:rsid w:val="27701672"/>
    <w:rsid w:val="2ACD3FAF"/>
    <w:rsid w:val="2E4B7402"/>
    <w:rsid w:val="367A3BD5"/>
    <w:rsid w:val="369B4675"/>
    <w:rsid w:val="3AA82343"/>
    <w:rsid w:val="3B5E34CA"/>
    <w:rsid w:val="3BBD205C"/>
    <w:rsid w:val="3C9E39FD"/>
    <w:rsid w:val="40923879"/>
    <w:rsid w:val="41985678"/>
    <w:rsid w:val="44937F9B"/>
    <w:rsid w:val="465C394D"/>
    <w:rsid w:val="4721404E"/>
    <w:rsid w:val="47A3275F"/>
    <w:rsid w:val="522E2F34"/>
    <w:rsid w:val="5551190C"/>
    <w:rsid w:val="590F3132"/>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799</Words>
  <Characters>1211</Characters>
  <Lines>0</Lines>
  <Paragraphs>0</Paragraphs>
  <TotalTime>0</TotalTime>
  <ScaleCrop>false</ScaleCrop>
  <LinksUpToDate>false</LinksUpToDate>
  <CharactersWithSpaces>1255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2026-01-26T06:28:29Z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862FA263D3ED47DB87E6F69DB241BCC8_13</vt:lpwstr>
  </property>
  <property fmtid="{D5CDD505-2E9C-101B-9397-08002B2CF9AE}" pid="4" name="KSOTemplateDocerSaveRecord">
    <vt:lpwstr>eyJoZGlkIjoiYzc5OTIyYjZlMjJmMmZjNWQxMTU1ZjJlZDkxZWM3OWUiLCJ1c2VySWQiOiIxNDQ1NjU1MDYxIn0=</vt:lpwstr>
  </property>
</Properties>
</file>