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306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155C73ED">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13B19E98">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14E19D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14F1D7F1">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30160E4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Cs w:val="44"/>
          <w:highlight w:val="none"/>
        </w:rPr>
      </w:pPr>
    </w:p>
    <w:p w14:paraId="18658C0D">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rPr>
      </w:pPr>
    </w:p>
    <w:p w14:paraId="33CB2177">
      <w:pPr>
        <w:keepNext w:val="0"/>
        <w:keepLines w:val="0"/>
        <w:pageBreakBefore w:val="0"/>
        <w:widowControl w:val="0"/>
        <w:kinsoku/>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同政</w:t>
      </w:r>
      <w:r>
        <w:rPr>
          <w:rFonts w:hint="default" w:ascii="Times New Roman" w:hAnsi="Times New Roman" w:eastAsia="仿宋" w:cs="Times New Roman"/>
          <w:sz w:val="32"/>
          <w:szCs w:val="32"/>
          <w:highlight w:val="none"/>
          <w:lang w:eastAsia="zh-CN"/>
        </w:rPr>
        <w:t>规</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2025</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9</w:t>
      </w:r>
      <w:r>
        <w:rPr>
          <w:rFonts w:hint="default" w:ascii="Times New Roman" w:hAnsi="Times New Roman" w:eastAsia="仿宋" w:cs="Times New Roman"/>
          <w:sz w:val="32"/>
          <w:szCs w:val="32"/>
          <w:highlight w:val="none"/>
        </w:rPr>
        <w:t>号</w:t>
      </w:r>
    </w:p>
    <w:p w14:paraId="5A8CA83B">
      <w:pPr>
        <w:pStyle w:val="11"/>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11B080CE">
      <w:pPr>
        <w:pStyle w:val="11"/>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30DD647B">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bookmarkStart w:id="4" w:name="_GoBack"/>
      <w:r>
        <w:rPr>
          <w:rFonts w:hint="default" w:ascii="Times New Roman" w:hAnsi="Times New Roman" w:eastAsia="方正小标宋简体" w:cs="Times New Roman"/>
          <w:sz w:val="44"/>
          <w:szCs w:val="44"/>
          <w:highlight w:val="none"/>
        </w:rPr>
        <w:t>同江市人民政府</w:t>
      </w:r>
    </w:p>
    <w:p w14:paraId="38829F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sz w:val="44"/>
          <w:szCs w:val="44"/>
          <w:highlight w:val="none"/>
        </w:rPr>
        <w:t>关于</w:t>
      </w:r>
      <w:r>
        <w:rPr>
          <w:rFonts w:hint="default" w:ascii="Times New Roman" w:hAnsi="Times New Roman" w:eastAsia="方正小标宋简体" w:cs="Times New Roman"/>
          <w:sz w:val="44"/>
          <w:szCs w:val="44"/>
          <w:highlight w:val="none"/>
          <w:lang w:val="en-US" w:eastAsia="zh-CN"/>
        </w:rPr>
        <w:t>印发同江市</w:t>
      </w:r>
      <w:r>
        <w:rPr>
          <w:rFonts w:hint="default" w:ascii="Times New Roman" w:hAnsi="Times New Roman" w:eastAsia="方正小标宋简体" w:cs="Times New Roman"/>
          <w:b w:val="0"/>
          <w:bCs/>
          <w:color w:val="000000" w:themeColor="text1"/>
          <w:sz w:val="44"/>
          <w:szCs w:val="44"/>
          <w:highlight w:val="none"/>
          <w:lang w:val="en-US" w:eastAsia="zh-CN"/>
          <w14:textFill>
            <w14:solidFill>
              <w14:schemeClr w14:val="tx1"/>
            </w14:solidFill>
          </w14:textFill>
        </w:rPr>
        <w:t>向困难陪读家庭发放住房</w:t>
      </w:r>
    </w:p>
    <w:p w14:paraId="61B022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b w:val="0"/>
          <w:bCs/>
          <w:color w:val="000000" w:themeColor="text1"/>
          <w:sz w:val="44"/>
          <w:szCs w:val="44"/>
          <w:highlight w:val="none"/>
          <w:lang w:val="en-US" w:eastAsia="zh-CN"/>
          <w14:textFill>
            <w14:solidFill>
              <w14:schemeClr w14:val="tx1"/>
            </w14:solidFill>
          </w14:textFill>
        </w:rPr>
        <w:t>租赁补贴实施方案（试行）</w:t>
      </w:r>
      <w:r>
        <w:rPr>
          <w:rFonts w:hint="default" w:ascii="Times New Roman" w:hAnsi="Times New Roman" w:eastAsia="方正小标宋简体" w:cs="Times New Roman"/>
          <w:sz w:val="44"/>
          <w:szCs w:val="44"/>
          <w:highlight w:val="none"/>
          <w:lang w:val="en-US" w:eastAsia="zh-CN"/>
        </w:rPr>
        <w:t>的通知</w:t>
      </w:r>
    </w:p>
    <w:bookmarkEnd w:id="4"/>
    <w:p w14:paraId="24164978">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3C69169B">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各</w:t>
      </w:r>
      <w:r>
        <w:rPr>
          <w:rFonts w:hint="default" w:ascii="Times New Roman" w:hAnsi="Times New Roman" w:eastAsia="仿宋" w:cs="Times New Roman"/>
          <w:sz w:val="32"/>
          <w:szCs w:val="32"/>
          <w:highlight w:val="none"/>
          <w:lang w:eastAsia="zh-CN"/>
        </w:rPr>
        <w:t>乡（镇）</w:t>
      </w:r>
      <w:r>
        <w:rPr>
          <w:rFonts w:hint="default" w:ascii="Times New Roman" w:hAnsi="Times New Roman" w:eastAsia="仿宋" w:cs="Times New Roman"/>
          <w:sz w:val="32"/>
          <w:szCs w:val="32"/>
          <w:highlight w:val="none"/>
        </w:rPr>
        <w:t>政府</w:t>
      </w:r>
      <w:r>
        <w:rPr>
          <w:rFonts w:hint="default" w:ascii="Times New Roman" w:hAnsi="Times New Roman" w:eastAsia="仿宋" w:cs="Times New Roman"/>
          <w:sz w:val="32"/>
          <w:szCs w:val="32"/>
          <w:highlight w:val="none"/>
          <w:lang w:eastAsia="zh-CN"/>
        </w:rPr>
        <w:t>、街道办事处、</w:t>
      </w:r>
      <w:r>
        <w:rPr>
          <w:rFonts w:hint="default" w:ascii="Times New Roman" w:hAnsi="Times New Roman" w:eastAsia="仿宋" w:cs="Times New Roman"/>
          <w:sz w:val="32"/>
          <w:szCs w:val="32"/>
          <w:highlight w:val="none"/>
          <w:lang w:val="en-US" w:eastAsia="zh-CN"/>
        </w:rPr>
        <w:t>社区管委会</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市政府各直属单位</w:t>
      </w:r>
      <w:r>
        <w:rPr>
          <w:rFonts w:hint="default" w:ascii="Times New Roman" w:hAnsi="Times New Roman" w:eastAsia="仿宋" w:cs="Times New Roman"/>
          <w:sz w:val="32"/>
          <w:szCs w:val="32"/>
          <w:highlight w:val="none"/>
          <w:lang w:eastAsia="zh-CN"/>
        </w:rPr>
        <w:t>：</w:t>
      </w:r>
    </w:p>
    <w:p w14:paraId="58F4F5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《同江市向困难陪读家庭发放住房租赁补贴实施方案（试行）》已经市政府同意，现印发给你们，请抓好贯彻落实。</w:t>
      </w:r>
    </w:p>
    <w:p w14:paraId="6BCDD559">
      <w:pPr>
        <w:keepNext w:val="0"/>
        <w:keepLines w:val="0"/>
        <w:pageBreakBefore w:val="0"/>
        <w:widowControl w:val="0"/>
        <w:kinsoku/>
        <w:overflowPunct/>
        <w:topLinePunct w:val="0"/>
        <w:autoSpaceDE/>
        <w:autoSpaceDN/>
        <w:bidi w:val="0"/>
        <w:adjustRightInd/>
        <w:spacing w:line="600" w:lineRule="exact"/>
        <w:textAlignment w:val="auto"/>
        <w:rPr>
          <w:rFonts w:hint="default" w:ascii="Times New Roman" w:hAnsi="Times New Roman" w:cs="Times New Roman"/>
          <w:lang w:eastAsia="zh-CN"/>
        </w:rPr>
      </w:pPr>
    </w:p>
    <w:p w14:paraId="240D75DA">
      <w:pPr>
        <w:pStyle w:val="3"/>
        <w:keepNext w:val="0"/>
        <w:keepLines w:val="0"/>
        <w:pageBreakBefore w:val="0"/>
        <w:widowControl w:val="0"/>
        <w:kinsoku/>
        <w:wordWrap w:val="0"/>
        <w:overflowPunct/>
        <w:topLinePunct w:val="0"/>
        <w:autoSpaceDE/>
        <w:autoSpaceDN/>
        <w:bidi w:val="0"/>
        <w:adjustRightInd/>
        <w:snapToGrid w:val="0"/>
        <w:spacing w:line="60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同江市人民政府</w:t>
      </w:r>
      <w:r>
        <w:rPr>
          <w:rFonts w:hint="default" w:ascii="Times New Roman" w:hAnsi="Times New Roman" w:cs="Times New Roman"/>
          <w:sz w:val="32"/>
          <w:szCs w:val="32"/>
          <w:highlight w:val="none"/>
          <w:lang w:val="en-US" w:eastAsia="zh-CN"/>
        </w:rPr>
        <w:t xml:space="preserve">      </w:t>
      </w:r>
    </w:p>
    <w:p w14:paraId="1EB2A94E">
      <w:pPr>
        <w:pStyle w:val="3"/>
        <w:keepNext w:val="0"/>
        <w:keepLines w:val="0"/>
        <w:pageBreakBefore w:val="0"/>
        <w:widowControl w:val="0"/>
        <w:kinsoku/>
        <w:wordWrap w:val="0"/>
        <w:overflowPunct/>
        <w:topLinePunct w:val="0"/>
        <w:autoSpaceDE/>
        <w:autoSpaceDN/>
        <w:bidi w:val="0"/>
        <w:adjustRightInd/>
        <w:snapToGrid w:val="0"/>
        <w:spacing w:line="600" w:lineRule="exact"/>
        <w:ind w:left="0" w:leftChars="0" w:firstLine="1280" w:firstLineChars="400"/>
        <w:jc w:val="righ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2025</w:t>
      </w:r>
      <w:r>
        <w:rPr>
          <w:rFonts w:hint="default" w:ascii="Times New Roman" w:hAnsi="Times New Roman" w:eastAsia="仿宋" w:cs="Times New Roman"/>
          <w:sz w:val="32"/>
          <w:szCs w:val="32"/>
          <w:highlight w:val="none"/>
        </w:rPr>
        <w:t>年</w:t>
      </w:r>
      <w:r>
        <w:rPr>
          <w:rFonts w:hint="default" w:ascii="Times New Roman" w:hAnsi="Times New Roman" w:cs="Times New Roman"/>
          <w:sz w:val="32"/>
          <w:szCs w:val="32"/>
          <w:highlight w:val="none"/>
          <w:lang w:val="en-US" w:eastAsia="zh-CN"/>
        </w:rPr>
        <w:t>10</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20</w:t>
      </w:r>
      <w:r>
        <w:rPr>
          <w:rFonts w:hint="default" w:ascii="Times New Roman" w:hAnsi="Times New Roman" w:eastAsia="仿宋" w:cs="Times New Roman"/>
          <w:sz w:val="32"/>
          <w:szCs w:val="32"/>
          <w:highlight w:val="none"/>
        </w:rPr>
        <w:t>日</w:t>
      </w:r>
      <w:r>
        <w:rPr>
          <w:rFonts w:hint="default" w:ascii="Times New Roman" w:hAnsi="Times New Roman" w:cs="Times New Roman"/>
          <w:sz w:val="32"/>
          <w:szCs w:val="32"/>
          <w:highlight w:val="none"/>
          <w:lang w:val="en-US" w:eastAsia="zh-CN"/>
        </w:rPr>
        <w:t xml:space="preserve">          </w:t>
      </w:r>
    </w:p>
    <w:p w14:paraId="13CCE69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color w:val="auto"/>
          <w:kern w:val="2"/>
          <w:sz w:val="44"/>
          <w:szCs w:val="44"/>
          <w:highlight w:val="none"/>
          <w:lang w:val="en-US" w:eastAsia="zh-CN" w:bidi="ar-SA"/>
        </w:rPr>
      </w:pPr>
      <w:bookmarkStart w:id="0" w:name="_Toc82593122"/>
      <w:bookmarkStart w:id="1" w:name="_Toc89769903"/>
      <w:bookmarkStart w:id="2" w:name="_Toc89769932"/>
      <w:bookmarkStart w:id="3" w:name="_Toc82593150"/>
    </w:p>
    <w:bookmarkEnd w:id="0"/>
    <w:bookmarkEnd w:id="1"/>
    <w:bookmarkEnd w:id="2"/>
    <w:bookmarkEnd w:id="3"/>
    <w:p w14:paraId="5EBEDA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default" w:ascii="Times New Roman" w:hAnsi="Times New Roman" w:eastAsia="方正小标宋简体" w:cs="Times New Roman"/>
          <w:b w:val="0"/>
          <w:bCs w:val="0"/>
          <w:kern w:val="2"/>
          <w:sz w:val="44"/>
          <w:szCs w:val="44"/>
          <w:highlight w:val="none"/>
          <w:lang w:val="en-US" w:eastAsia="zh-CN" w:bidi="ar-SA"/>
        </w:rPr>
        <w:sectPr>
          <w:headerReference r:id="rId3" w:type="default"/>
          <w:pgSz w:w="11906" w:h="16838"/>
          <w:pgMar w:top="2098" w:right="1474" w:bottom="1984" w:left="1587" w:header="907" w:footer="1758" w:gutter="0"/>
          <w:pgBorders>
            <w:top w:val="none" w:sz="0" w:space="0"/>
            <w:left w:val="none" w:sz="0" w:space="0"/>
            <w:bottom w:val="none" w:sz="0" w:space="0"/>
            <w:right w:val="none" w:sz="0" w:space="0"/>
          </w:pgBorders>
          <w:pgNumType w:fmt="decimal"/>
          <w:cols w:space="720" w:num="1"/>
          <w:docGrid w:type="lines" w:linePitch="318" w:charSpace="0"/>
        </w:sectPr>
      </w:pPr>
    </w:p>
    <w:p w14:paraId="0581B2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highlight w:val="none"/>
          <w:lang w:val="en-US" w:eastAsia="zh-CN"/>
          <w14:textFill>
            <w14:solidFill>
              <w14:schemeClr w14:val="tx1"/>
            </w14:solidFill>
          </w14:textFill>
        </w:rPr>
        <w:t>同江市关于向困难陪读家庭发放</w:t>
      </w:r>
    </w:p>
    <w:p w14:paraId="66E932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highlight w:val="none"/>
          <w:lang w:val="en-US" w:eastAsia="zh-CN"/>
          <w14:textFill>
            <w14:solidFill>
              <w14:schemeClr w14:val="tx1"/>
            </w14:solidFill>
          </w14:textFill>
        </w:rPr>
        <w:t>住房租赁补贴实施方案（试行）</w:t>
      </w:r>
    </w:p>
    <w:p w14:paraId="0A00E1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 w:cs="Times New Roman"/>
          <w:b w:val="0"/>
          <w:bCs w:val="0"/>
          <w:color w:val="auto"/>
          <w:kern w:val="0"/>
          <w:sz w:val="32"/>
          <w:szCs w:val="32"/>
          <w:highlight w:val="none"/>
          <w:lang w:val="en-US" w:eastAsia="zh-CN" w:bidi="ar"/>
        </w:rPr>
      </w:pPr>
    </w:p>
    <w:p w14:paraId="1C7BF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为妥善解决我市城乡困难</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陪读</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家庭</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住房难问题，</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扎实开展</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留守儿童、困难学生</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群体救助帮扶、政策扶持</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等保障工作</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依据《住房城乡建设部、财政部关于做好城镇住房保障家庭租赁补贴工作的指导意见》（建保2016〔281〕号）文件要求，结合我市实际，制定本方案。</w:t>
      </w:r>
    </w:p>
    <w:p w14:paraId="36B72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一、指导思想</w:t>
      </w:r>
    </w:p>
    <w:p w14:paraId="2BA66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以习近平新时代中国特色社会主义思想为指导，深入贯彻落实国家关于保障民生、促进教育公平的决策部署，聚焦困难家庭陪读群体在生活、子女教育等方面的核心需求，坚持“以人为本、精准施策”原则，减轻家庭负担，保障困难家庭子女享受优质教育资源，推动教育公平与社会和谐稳定发展。</w:t>
      </w:r>
    </w:p>
    <w:p w14:paraId="266B4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二、基本原则</w:t>
      </w:r>
    </w:p>
    <w:p w14:paraId="6D703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为促进民生改善，重点解决我市城乡（含农场）困难陪读家庭住房困难问题，进一步提升就学服务保障水平，根据困难陪读家庭住房困难程度和支付能力，对在同江市区陪读的困难家庭以发放住房租赁补贴方式，保障其基本居住需求。</w:t>
      </w:r>
    </w:p>
    <w:p w14:paraId="76F6E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三、保障对象及准入条件</w:t>
      </w:r>
    </w:p>
    <w:p w14:paraId="60BDE8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具有我市城乡（含农场）居民户籍，在市区小学、初中、高中（含职高）、特教学校就读，经教育局、民政局等相关部门认定的各类在校困难学生，且陪读家庭户籍成员在本市区无自有住房（以不动产权证书为准）。</w:t>
      </w:r>
    </w:p>
    <w:p w14:paraId="077A1AB2">
      <w:pPr>
        <w:keepNext w:val="0"/>
        <w:keepLines w:val="0"/>
        <w:pageBreakBefore w:val="0"/>
        <w:widowControl w:val="0"/>
        <w:tabs>
          <w:tab w:val="left" w:pos="605"/>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（一）特殊群体类型：</w:t>
      </w:r>
    </w:p>
    <w:p w14:paraId="7291A2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低保（低保边缘）</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学生家庭；</w:t>
      </w:r>
    </w:p>
    <w:p w14:paraId="1E1876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2.农村脱贫户学生家庭；</w:t>
      </w:r>
    </w:p>
    <w:p w14:paraId="10C1A3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特困</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救助供养学生、</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孤儿</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家庭；</w:t>
      </w:r>
    </w:p>
    <w:p w14:paraId="6616C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经济困难</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残疾学生</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残疾人子女家庭（</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出具学生本人或父母的残疾证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p>
    <w:p w14:paraId="29EBA8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烈士子女、见义勇为子女</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家庭</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p>
    <w:p w14:paraId="7E2D5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（二）其他类型：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因遭受重大自然灾害、重大意外事件、重大疾病等突发情况导致经济困难的学生家庭。</w:t>
      </w:r>
    </w:p>
    <w:p w14:paraId="6DC9E0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四、申请时间及发放标准</w:t>
      </w:r>
    </w:p>
    <w:p w14:paraId="46882CB7">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申请时间为每年春季学期和秋季学期开学前一个月。每个学期为一个发放周期。</w:t>
      </w:r>
    </w:p>
    <w:p w14:paraId="4488F793">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住房租赁补贴标准为每户家庭每学期发放1500元。</w:t>
      </w:r>
    </w:p>
    <w:p w14:paraId="52350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五、申报材料</w:t>
      </w:r>
    </w:p>
    <w:p w14:paraId="4CB77C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lang w:eastAsia="zh-CN"/>
          <w14:textFill>
            <w14:solidFill>
              <w14:schemeClr w14:val="tx1"/>
            </w14:solidFill>
          </w14:textFill>
        </w:rPr>
        <w:t>申请人应提供下列材料：</w:t>
      </w:r>
    </w:p>
    <w:p w14:paraId="37E9B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《同江市困难陪读家庭住房租赁补贴申请表》；</w:t>
      </w:r>
    </w:p>
    <w:p w14:paraId="7656C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家庭成员身份证和户口簿（复印件）、学生照片；</w:t>
      </w:r>
    </w:p>
    <w:p w14:paraId="6224AB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3.租住房屋的所有权证明、租赁合同</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p>
    <w:p w14:paraId="493B9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4.其他需要提供的材料。</w:t>
      </w:r>
    </w:p>
    <w:p w14:paraId="526E0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六、申报程序</w:t>
      </w:r>
    </w:p>
    <w:p w14:paraId="0D735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）申请困难陪读家庭住房补贴，应由学生本人或具有完全民事行为能力的监护人作为申请人，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每学期</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向</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所在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学校</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提出申请，由学校负责向申请人发放《申请表》并告知申请流程。</w:t>
      </w:r>
    </w:p>
    <w:p w14:paraId="150BE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（二）申请人到所在</w:t>
      </w: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乡（镇）政府、街道办事处、</w:t>
      </w:r>
      <w:r>
        <w:rPr>
          <w:rFonts w:hint="eastAsia"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辖区农场社区管委会、</w:t>
      </w: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民政局、残疾人联合会、退役军人事务局等部门对</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准入条件进行初核，</w:t>
      </w:r>
      <w:r>
        <w:rPr>
          <w:rFonts w:hint="eastAsia" w:eastAsia="仿宋" w:cs="Times New Roman"/>
          <w:color w:val="000000" w:themeColor="text1"/>
          <w:kern w:val="2"/>
          <w:sz w:val="32"/>
          <w:szCs w:val="32"/>
          <w:highlight w:val="none"/>
          <w:lang w:val="en-US" w:eastAsia="zh-CN" w:bidi="ar-SA"/>
          <w14:textFill>
            <w14:solidFill>
              <w14:schemeClr w14:val="tx1"/>
            </w14:solidFill>
          </w14:textFill>
        </w:rPr>
        <w:t>并</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出具证明材料。</w:t>
      </w:r>
    </w:p>
    <w:p w14:paraId="6767749D">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（三）申请人将申报材料收集齐全后，交由学生所在学校进行复核，申请材料不齐全的，一次性告知申请人需要补齐的材料。</w:t>
      </w:r>
    </w:p>
    <w:p w14:paraId="680B62FA">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w:t>
      </w:r>
      <w:r>
        <w:rPr>
          <w:rFonts w:hint="eastAsia"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四</w:t>
      </w: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）经学生所在学校复核通过后，统一报市教育局汇总。</w:t>
      </w:r>
    </w:p>
    <w:p w14:paraId="08FF40B8">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（五）教育局会同有关部门对申请材料及准入条件进行联审。</w:t>
      </w:r>
    </w:p>
    <w:p w14:paraId="1865A6A0">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（六）</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联审结束后，由教育局在同江市政府网站进行公示，公示期为5个工作日。</w:t>
      </w:r>
    </w:p>
    <w:p w14:paraId="3D1BAD79">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（七）</w:t>
      </w: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经公示无异议的，由教育局形成《同江市困难陪读家庭发放住房租赁补贴名单》报住房和城乡建设局（</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住房保障服务中心</w:t>
      </w: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）进行发放。</w:t>
      </w:r>
    </w:p>
    <w:p w14:paraId="2B183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七、各部门职责</w:t>
      </w:r>
    </w:p>
    <w:p w14:paraId="2B2FA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1.由发展和改革局负责确定困难陪读家庭住房租金补贴标准，并结合市场租金适时调整等相关工作。</w:t>
      </w:r>
    </w:p>
    <w:p w14:paraId="37FEA34A">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2.由各学校负责</w:t>
      </w:r>
      <w:r>
        <w:rPr>
          <w:rFonts w:hint="default" w:ascii="Times New Roman" w:hAnsi="Times New Roman" w:eastAsia="仿宋" w:cs="Times New Roman"/>
          <w:b w:val="0"/>
          <w:bCs w:val="0"/>
          <w:color w:val="000000" w:themeColor="text1"/>
          <w:sz w:val="32"/>
          <w:szCs w:val="32"/>
          <w:highlight w:val="none"/>
          <w:lang w:eastAsia="zh-CN"/>
          <w14:textFill>
            <w14:solidFill>
              <w14:schemeClr w14:val="tx1"/>
            </w14:solidFill>
          </w14:textFill>
        </w:rPr>
        <w:t>困难</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陪读</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家庭补贴申请</w:t>
      </w:r>
      <w:r>
        <w:rPr>
          <w:rFonts w:hint="eastAsia"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材料的</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初核工作，</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并</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将</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初核</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结果、</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申请材料、</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会议记录及会议照片佐证材料上报教育局等相关工作。</w:t>
      </w:r>
    </w:p>
    <w:p w14:paraId="6A96EA81">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3.</w:t>
      </w:r>
      <w:r>
        <w:rPr>
          <w:rFonts w:hint="eastAsia"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各</w:t>
      </w: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乡（镇）政府、街道办事处、</w:t>
      </w:r>
      <w:r>
        <w:rPr>
          <w:rFonts w:hint="eastAsia"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辖区农场社区管委会、</w:t>
      </w: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教育局、民政局、残疾人联合会、退役军人事务局等部门负责</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结合各自职能对特殊群体</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及其他类型申请人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进行身份认定等相关工作。</w:t>
      </w:r>
    </w:p>
    <w:p w14:paraId="78F84CAB">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4.由不动产登记中心</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负责对申报补贴家庭名下持有登记的市区不动产信息进行核查等相关工作。</w:t>
      </w:r>
    </w:p>
    <w:p w14:paraId="7A57399B">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5.由财政局负责年度</w:t>
      </w: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困难陪读家庭住房租赁补贴资金纳入财政预算、资金拨付、监管等相关工作</w:t>
      </w:r>
      <w:r>
        <w:rPr>
          <w:rFonts w:hint="eastAsia"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w:t>
      </w:r>
    </w:p>
    <w:p w14:paraId="6121C9AE">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营商环境建设监督局按职责做好相关保障工作。</w:t>
      </w:r>
    </w:p>
    <w:p w14:paraId="13017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八、资金发放</w:t>
      </w:r>
    </w:p>
    <w:p w14:paraId="2C408FD4">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住房和城乡建设局（住房保障服务中心）依据教育局提供的《</w:t>
      </w: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符合困难陪读家庭发放住房租赁补贴名单</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》负责资金申请、发放（通过财政“一卡通”平台发放）。</w:t>
      </w:r>
    </w:p>
    <w:p w14:paraId="25180F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九、有效期限</w:t>
      </w:r>
    </w:p>
    <w:p w14:paraId="2DF425DA">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方案</w:t>
      </w:r>
      <w:r>
        <w:rPr>
          <w:rFonts w:hint="default" w:ascii="Times New Roman" w:hAnsi="Times New Roman" w:eastAsia="仿宋" w:cs="Times New Roman"/>
          <w:color w:val="000000" w:themeColor="text1"/>
          <w:sz w:val="32"/>
          <w:szCs w:val="32"/>
          <w14:textFill>
            <w14:solidFill>
              <w14:schemeClr w14:val="tx1"/>
            </w14:solidFill>
          </w14:textFill>
        </w:rPr>
        <w:t>自公布之日起实施</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，试行期二年。</w:t>
      </w:r>
    </w:p>
    <w:p w14:paraId="5A4E2D2D">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p>
    <w:p w14:paraId="76937978">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p>
    <w:p w14:paraId="6E928728">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p>
    <w:p w14:paraId="5F5F5256">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p>
    <w:p w14:paraId="5AD67E50">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p>
    <w:p w14:paraId="3B30E9A2">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p>
    <w:p w14:paraId="28963AA4">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p>
    <w:p w14:paraId="5C1A15D2">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p>
    <w:tbl>
      <w:tblPr>
        <w:tblStyle w:val="8"/>
        <w:tblpPr w:leftFromText="180" w:rightFromText="180" w:vertAnchor="text" w:horzAnchor="page" w:tblpX="1661" w:tblpY="12115"/>
        <w:tblOverlap w:val="never"/>
        <w:tblW w:w="905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80" w:type="dxa"/>
          <w:left w:w="128" w:type="dxa"/>
          <w:bottom w:w="80" w:type="dxa"/>
          <w:right w:w="128" w:type="dxa"/>
        </w:tblCellMar>
      </w:tblPr>
      <w:tblGrid>
        <w:gridCol w:w="4527"/>
        <w:gridCol w:w="4528"/>
      </w:tblGrid>
      <w:tr w14:paraId="23C56F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rPr>
        <w:tc>
          <w:tcPr>
            <w:tcW w:w="4527" w:type="dxa"/>
            <w:tcBorders>
              <w:tl2br w:val="nil"/>
              <w:tr2bl w:val="nil"/>
            </w:tcBorders>
            <w:noWrap w:val="0"/>
            <w:vAlign w:val="top"/>
          </w:tcPr>
          <w:p w14:paraId="765004D2">
            <w:pPr>
              <w:tabs>
                <w:tab w:val="left" w:pos="846"/>
              </w:tabs>
              <w:bidi w:val="0"/>
              <w:snapToGrid w:val="0"/>
              <w:ind w:firstLine="280" w:firstLineChars="100"/>
              <w:jc w:val="left"/>
              <w:rPr>
                <w:rFonts w:hint="default" w:ascii="Times New Roman" w:hAnsi="Times New Roman" w:eastAsia="宋体" w:cs="Times New Roman"/>
                <w:highlight w:val="none"/>
                <w:vertAlign w:val="baseline"/>
                <w:lang w:eastAsia="zh-CN"/>
              </w:rPr>
            </w:pPr>
            <w:r>
              <w:rPr>
                <w:rFonts w:hint="default" w:ascii="Times New Roman" w:hAnsi="Times New Roman" w:eastAsia="仿宋" w:cs="Times New Roman"/>
                <w:color w:val="auto"/>
                <w:sz w:val="28"/>
                <w:szCs w:val="28"/>
                <w:highlight w:val="none"/>
                <w:lang w:val="en-US" w:eastAsia="zh-CN"/>
              </w:rPr>
              <w:t>同江市人民政府办公室</w:t>
            </w:r>
          </w:p>
        </w:tc>
        <w:tc>
          <w:tcPr>
            <w:tcW w:w="4528" w:type="dxa"/>
            <w:tcBorders>
              <w:tl2br w:val="nil"/>
              <w:tr2bl w:val="nil"/>
            </w:tcBorders>
            <w:noWrap w:val="0"/>
            <w:vAlign w:val="top"/>
          </w:tcPr>
          <w:p w14:paraId="2545C76B">
            <w:pPr>
              <w:tabs>
                <w:tab w:val="left" w:pos="846"/>
              </w:tabs>
              <w:bidi w:val="0"/>
              <w:snapToGrid w:val="0"/>
              <w:ind w:firstLine="1120" w:firstLineChars="400"/>
              <w:jc w:val="left"/>
              <w:rPr>
                <w:rFonts w:hint="default" w:ascii="Times New Roman" w:hAnsi="Times New Roman" w:eastAsia="宋体" w:cs="Times New Roman"/>
                <w:highlight w:val="none"/>
                <w:vertAlign w:val="baseline"/>
                <w:lang w:eastAsia="zh-CN"/>
              </w:rPr>
            </w:pPr>
            <w:r>
              <w:rPr>
                <w:rFonts w:hint="default" w:ascii="Times New Roman" w:hAnsi="Times New Roman" w:eastAsia="仿宋" w:cs="Times New Roman"/>
                <w:color w:val="auto"/>
                <w:sz w:val="28"/>
                <w:szCs w:val="28"/>
                <w:highlight w:val="none"/>
                <w:lang w:val="en-US" w:eastAsia="zh-CN"/>
              </w:rPr>
              <w:t>2025年</w:t>
            </w:r>
            <w:r>
              <w:rPr>
                <w:rFonts w:hint="eastAsia" w:ascii="Times New Roman" w:hAnsi="Times New Roman" w:eastAsia="仿宋" w:cs="Times New Roman"/>
                <w:color w:val="auto"/>
                <w:sz w:val="28"/>
                <w:szCs w:val="28"/>
                <w:highlight w:val="none"/>
                <w:lang w:val="en-US" w:eastAsia="zh-CN"/>
              </w:rPr>
              <w:t>10</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20</w:t>
            </w:r>
            <w:r>
              <w:rPr>
                <w:rFonts w:hint="default" w:ascii="Times New Roman" w:hAnsi="Times New Roman" w:eastAsia="仿宋" w:cs="Times New Roman"/>
                <w:color w:val="auto"/>
                <w:sz w:val="28"/>
                <w:szCs w:val="28"/>
                <w:highlight w:val="none"/>
                <w:lang w:val="en-US" w:eastAsia="zh-CN"/>
              </w:rPr>
              <w:t>日印发</w:t>
            </w:r>
          </w:p>
        </w:tc>
      </w:tr>
    </w:tbl>
    <w:p w14:paraId="68BE563C">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p>
    <w:sectPr>
      <w:footerReference r:id="rId4" w:type="default"/>
      <w:pgSz w:w="11900" w:h="16838"/>
      <w:pgMar w:top="2098" w:right="1474" w:bottom="1984" w:left="1587" w:header="720" w:footer="958"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190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1EA34">
                          <w:pPr>
                            <w:pStyle w:val="4"/>
                            <w:rPr>
                              <w:rFonts w:hint="default" w:ascii="Times New Roman" w:hAnsi="Times New Roman" w:cs="Times New Roman"/>
                              <w:sz w:val="24"/>
                              <w:szCs w:val="40"/>
                            </w:rPr>
                          </w:pPr>
                          <w:r>
                            <w:rPr>
                              <w:rFonts w:hint="default" w:cs="Times New Roman"/>
                              <w:sz w:val="24"/>
                              <w:szCs w:val="40"/>
                            </w:rPr>
                            <w:t xml:space="preserve">— </w:t>
                          </w:r>
                          <w:r>
                            <w:rPr>
                              <w:rFonts w:hint="default" w:cs="Times New Roman"/>
                              <w:sz w:val="24"/>
                              <w:szCs w:val="40"/>
                            </w:rPr>
                            <w:fldChar w:fldCharType="begin"/>
                          </w:r>
                          <w:r>
                            <w:rPr>
                              <w:rFonts w:hint="default" w:cs="Times New Roman"/>
                              <w:sz w:val="24"/>
                              <w:szCs w:val="40"/>
                            </w:rPr>
                            <w:instrText xml:space="preserve"> PAGE  \* MERGEFORMAT </w:instrText>
                          </w:r>
                          <w:r>
                            <w:rPr>
                              <w:rFonts w:hint="default" w:cs="Times New Roman"/>
                              <w:sz w:val="24"/>
                              <w:szCs w:val="40"/>
                            </w:rPr>
                            <w:fldChar w:fldCharType="separate"/>
                          </w:r>
                          <w:r>
                            <w:rPr>
                              <w:rFonts w:hint="default" w:cs="Times New Roman"/>
                              <w:sz w:val="24"/>
                              <w:szCs w:val="40"/>
                            </w:rPr>
                            <w:t>2</w:t>
                          </w:r>
                          <w:r>
                            <w:rPr>
                              <w:rFonts w:hint="default" w:cs="Times New Roman"/>
                              <w:sz w:val="24"/>
                              <w:szCs w:val="40"/>
                            </w:rPr>
                            <w:fldChar w:fldCharType="end"/>
                          </w:r>
                          <w:r>
                            <w:rPr>
                              <w:rFonts w:hint="default"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41EA34">
                    <w:pPr>
                      <w:pStyle w:val="4"/>
                      <w:rPr>
                        <w:rFonts w:hint="default" w:ascii="Times New Roman" w:hAnsi="Times New Roman" w:cs="Times New Roman"/>
                        <w:sz w:val="24"/>
                        <w:szCs w:val="40"/>
                      </w:rPr>
                    </w:pPr>
                    <w:r>
                      <w:rPr>
                        <w:rFonts w:hint="default" w:cs="Times New Roman"/>
                        <w:sz w:val="24"/>
                        <w:szCs w:val="40"/>
                      </w:rPr>
                      <w:t xml:space="preserve">— </w:t>
                    </w:r>
                    <w:r>
                      <w:rPr>
                        <w:rFonts w:hint="default" w:cs="Times New Roman"/>
                        <w:sz w:val="24"/>
                        <w:szCs w:val="40"/>
                      </w:rPr>
                      <w:fldChar w:fldCharType="begin"/>
                    </w:r>
                    <w:r>
                      <w:rPr>
                        <w:rFonts w:hint="default" w:cs="Times New Roman"/>
                        <w:sz w:val="24"/>
                        <w:szCs w:val="40"/>
                      </w:rPr>
                      <w:instrText xml:space="preserve"> PAGE  \* MERGEFORMAT </w:instrText>
                    </w:r>
                    <w:r>
                      <w:rPr>
                        <w:rFonts w:hint="default" w:cs="Times New Roman"/>
                        <w:sz w:val="24"/>
                        <w:szCs w:val="40"/>
                      </w:rPr>
                      <w:fldChar w:fldCharType="separate"/>
                    </w:r>
                    <w:r>
                      <w:rPr>
                        <w:rFonts w:hint="default" w:cs="Times New Roman"/>
                        <w:sz w:val="24"/>
                        <w:szCs w:val="40"/>
                      </w:rPr>
                      <w:t>2</w:t>
                    </w:r>
                    <w:r>
                      <w:rPr>
                        <w:rFonts w:hint="default" w:cs="Times New Roman"/>
                        <w:sz w:val="24"/>
                        <w:szCs w:val="40"/>
                      </w:rPr>
                      <w:fldChar w:fldCharType="end"/>
                    </w:r>
                    <w:r>
                      <w:rPr>
                        <w:rFonts w:hint="default" w:cs="Times New Roman"/>
                        <w:sz w:val="24"/>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D4D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E20CD"/>
    <w:rsid w:val="05B81B56"/>
    <w:rsid w:val="0A2C7DA0"/>
    <w:rsid w:val="108A1F59"/>
    <w:rsid w:val="11D46A41"/>
    <w:rsid w:val="13D77442"/>
    <w:rsid w:val="18D150A9"/>
    <w:rsid w:val="22244B28"/>
    <w:rsid w:val="27565784"/>
    <w:rsid w:val="2DBB4593"/>
    <w:rsid w:val="38F92413"/>
    <w:rsid w:val="51804BF2"/>
    <w:rsid w:val="536139E1"/>
    <w:rsid w:val="7660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table of authorities"/>
    <w:basedOn w:val="1"/>
    <w:next w:val="1"/>
    <w:unhideWhenUsed/>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tabs>
        <w:tab w:val="left" w:pos="1290"/>
      </w:tabs>
      <w:spacing w:line="360" w:lineRule="auto"/>
      <w:ind w:firstLine="645"/>
    </w:pPr>
    <w:rPr>
      <w:rFonts w:ascii="仿宋_GB2312" w:eastAsia="仿宋_GB2312"/>
      <w:sz w:val="32"/>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普通(网站)1"/>
    <w:basedOn w:val="1"/>
    <w:qFormat/>
    <w:uiPriority w:val="0"/>
    <w:pPr>
      <w:widowControl/>
      <w:jc w:val="left"/>
    </w:pPr>
    <w:rPr>
      <w:rFonts w:ascii="宋体" w:hAnsi="宋体"/>
      <w:kern w:val="0"/>
      <w:sz w:val="24"/>
    </w:rPr>
  </w:style>
  <w:style w:type="paragraph" w:customStyle="1" w:styleId="11">
    <w:name w:val="No Spacing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1724</Words>
  <Characters>1760</Characters>
  <Lines>0</Lines>
  <Paragraphs>0</Paragraphs>
  <TotalTime>0</TotalTime>
  <ScaleCrop>false</ScaleCrop>
  <LinksUpToDate>false</LinksUpToDate>
  <CharactersWithSpaces>1796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2025-08-11T14:29:00Z</dcterms:created>
  <dc:creator>平常心</dc:creator>
  <cp:lastModifiedBy>刘曦曦</cp:lastModifiedBy>
  <cp:lastPrinted>2025-08-23T10:03:00Z</cp:lastPrinted>
  <dcterms:modified xsi:type="dcterms:W3CDTF">2025-10-22T00:44:18Z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C69CC43595634B8382BD30AF19298EEF_13</vt:lpwstr>
  </property>
  <property fmtid="{D5CDD505-2E9C-101B-9397-08002B2CF9AE}" pid="4" name="KSOTemplateDocerSaveRecord">
    <vt:lpwstr>eyJoZGlkIjoiNDVhMDk2OWRlMmIwNDdkYWE3MmYxZGE2YTE0Y2Q0ZTYiLCJ1c2VySWQiOiI1MzEyNDgxNjkifQ==</vt:lpwstr>
  </property>
</Properties>
</file>