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highlight w:val="none"/>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号</w:t>
      </w:r>
    </w:p>
    <w:p w14:paraId="4920CDB9">
      <w:pPr>
        <w:pStyle w:val="15"/>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15"/>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637CF53">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13" w:name="_GoBack"/>
      <w:r>
        <w:rPr>
          <w:rFonts w:hint="default" w:ascii="Times New Roman" w:hAnsi="Times New Roman" w:eastAsia="方正小标宋简体" w:cs="Times New Roman"/>
          <w:sz w:val="44"/>
          <w:szCs w:val="44"/>
          <w:highlight w:val="none"/>
        </w:rPr>
        <w:t>同江市人民政府</w:t>
      </w:r>
    </w:p>
    <w:p w14:paraId="25F50EC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b w:val="0"/>
          <w:bCs w:val="0"/>
          <w:sz w:val="44"/>
          <w:szCs w:val="44"/>
          <w:highlight w:val="none"/>
        </w:rPr>
        <w:t>同江市边境地区转移支付</w:t>
      </w:r>
    </w:p>
    <w:p w14:paraId="61B02259">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b w:val="0"/>
          <w:bCs w:val="0"/>
          <w:sz w:val="44"/>
          <w:szCs w:val="44"/>
          <w:highlight w:val="none"/>
        </w:rPr>
        <w:t>资金管理办法</w:t>
      </w:r>
      <w:r>
        <w:rPr>
          <w:rFonts w:hint="default" w:ascii="Times New Roman" w:hAnsi="Times New Roman" w:eastAsia="方正小标宋简体" w:cs="Times New Roman"/>
          <w:sz w:val="44"/>
          <w:szCs w:val="44"/>
          <w:highlight w:val="none"/>
          <w:lang w:val="en-US" w:eastAsia="zh-CN"/>
        </w:rPr>
        <w:t>的通知</w:t>
      </w:r>
    </w:p>
    <w:bookmarkEnd w:id="13"/>
    <w:p w14:paraId="5BA0DB3E">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sz w:val="32"/>
          <w:szCs w:val="32"/>
          <w:highlight w:val="none"/>
        </w:rPr>
        <w:t>同江</w:t>
      </w:r>
      <w:r>
        <w:rPr>
          <w:rFonts w:hint="default" w:ascii="Times New Roman" w:hAnsi="Times New Roman" w:eastAsia="仿宋" w:cs="Times New Roman"/>
          <w:sz w:val="32"/>
          <w:szCs w:val="32"/>
          <w:highlight w:val="none"/>
          <w:lang w:val="en-US" w:eastAsia="zh-CN"/>
        </w:rPr>
        <w:t>市边境地区转移支付资金管理办法</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highlight w:val="none"/>
          <w:lang w:eastAsia="zh-CN"/>
        </w:rPr>
      </w:pPr>
    </w:p>
    <w:p w14:paraId="41874DB1">
      <w:pPr>
        <w:pStyle w:val="6"/>
        <w:keepNext w:val="0"/>
        <w:keepLines w:val="0"/>
        <w:pageBreakBefore w:val="0"/>
        <w:widowControl w:val="0"/>
        <w:kinsoku/>
        <w:wordWrap w:val="0"/>
        <w:overflowPunct/>
        <w:topLinePunct w:val="0"/>
        <w:autoSpaceDE/>
        <w:autoSpaceDN/>
        <w:bidi w:val="0"/>
        <w:adjustRightInd/>
        <w:snapToGrid w:val="0"/>
        <w:spacing w:line="60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6"/>
        <w:keepNext w:val="0"/>
        <w:keepLines w:val="0"/>
        <w:pageBreakBefore w:val="0"/>
        <w:widowControl w:val="0"/>
        <w:kinsoku/>
        <w:wordWrap w:val="0"/>
        <w:overflowPunct/>
        <w:topLinePunct w:val="0"/>
        <w:autoSpaceDE/>
        <w:autoSpaceDN/>
        <w:bidi w:val="0"/>
        <w:adjustRightInd/>
        <w:snapToGrid w:val="0"/>
        <w:spacing w:line="60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8</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9769903"/>
      <w:bookmarkStart w:id="1" w:name="_Toc82593150"/>
      <w:bookmarkStart w:id="2" w:name="_Toc89769932"/>
      <w:bookmarkStart w:id="3" w:name="_Toc82593122"/>
    </w:p>
    <w:bookmarkEnd w:id="0"/>
    <w:bookmarkEnd w:id="1"/>
    <w:bookmarkEnd w:id="2"/>
    <w:bookmarkEnd w:id="3"/>
    <w:p w14:paraId="4E4AB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126C77C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楷体_GB2312" w:cs="Times New Roman"/>
          <w:bCs/>
          <w:color w:val="000000"/>
          <w:sz w:val="24"/>
          <w:szCs w:val="24"/>
          <w:highlight w:val="none"/>
          <w:lang w:val="en-US" w:eastAsia="zh-CN"/>
        </w:rPr>
      </w:pPr>
      <w:r>
        <w:rPr>
          <w:rFonts w:hint="default" w:ascii="Times New Roman" w:hAnsi="Times New Roman" w:eastAsia="方正小标宋简体" w:cs="Times New Roman"/>
          <w:b w:val="0"/>
          <w:bCs w:val="0"/>
          <w:sz w:val="44"/>
          <w:szCs w:val="44"/>
          <w:highlight w:val="none"/>
        </w:rPr>
        <w:t>同江市边境地区转移支付资金管理办法</w:t>
      </w:r>
    </w:p>
    <w:p w14:paraId="728A33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jc w:val="both"/>
        <w:textAlignment w:val="auto"/>
        <w:rPr>
          <w:rFonts w:hint="default" w:ascii="Times New Roman" w:hAnsi="Times New Roman" w:eastAsia="楷体_GB2312" w:cs="Times New Roman"/>
          <w:b w:val="0"/>
          <w:bCs w:val="0"/>
          <w:color w:val="000000"/>
          <w:kern w:val="0"/>
          <w:sz w:val="32"/>
          <w:szCs w:val="32"/>
          <w:highlight w:val="none"/>
          <w:lang w:val="en-US" w:eastAsia="zh-CN" w:bidi="ar"/>
        </w:rPr>
      </w:pPr>
    </w:p>
    <w:p w14:paraId="72FE5F1C">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napToGrid/>
          <w:color w:val="000000"/>
          <w:kern w:val="0"/>
          <w:sz w:val="32"/>
          <w:szCs w:val="32"/>
          <w:highlight w:val="none"/>
          <w:lang w:val="en-US" w:eastAsia="zh-CN" w:bidi="ar"/>
        </w:rPr>
      </w:pPr>
      <w:r>
        <w:rPr>
          <w:rFonts w:hint="default" w:ascii="Times New Roman" w:hAnsi="Times New Roman" w:eastAsia="黑体" w:cs="Times New Roman"/>
          <w:snapToGrid/>
          <w:color w:val="000000"/>
          <w:kern w:val="0"/>
          <w:sz w:val="32"/>
          <w:szCs w:val="32"/>
          <w:highlight w:val="none"/>
          <w:lang w:val="en-US" w:eastAsia="zh-CN" w:bidi="ar"/>
        </w:rPr>
        <w:t>第一章  总  则</w:t>
      </w:r>
    </w:p>
    <w:p w14:paraId="19956F3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第一条</w:t>
      </w:r>
      <w:r>
        <w:rPr>
          <w:rFonts w:hint="default" w:ascii="Times New Roman" w:hAnsi="Times New Roman" w:eastAsia="仿宋" w:cs="Times New Roman"/>
          <w:snapToGrid/>
          <w:color w:val="000000"/>
          <w:kern w:val="0"/>
          <w:sz w:val="32"/>
          <w:szCs w:val="32"/>
          <w:highlight w:val="none"/>
          <w:lang w:val="en-US" w:eastAsia="zh-CN" w:bidi="ar"/>
        </w:rPr>
        <w:t xml:space="preserve">  为进一步规范边境地区转移支付资金管理，提高资金使用效益，根据2019年财政部修订的《边境地区转移支付资金管理办法》和黑龙江省财政厅关于印发《黑龙江省边境地区转移支付资金管理办法》（黑财预〔2022〕92号）要求，结合我市实际，制定本办法。</w:t>
      </w:r>
    </w:p>
    <w:p w14:paraId="211E96E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第二条</w:t>
      </w:r>
      <w:r>
        <w:rPr>
          <w:rFonts w:hint="default" w:ascii="Times New Roman" w:hAnsi="Times New Roman" w:eastAsia="仿宋" w:cs="Times New Roman"/>
          <w:snapToGrid/>
          <w:color w:val="000000"/>
          <w:kern w:val="0"/>
          <w:sz w:val="32"/>
          <w:szCs w:val="32"/>
          <w:highlight w:val="none"/>
          <w:lang w:val="en-US" w:eastAsia="zh-CN" w:bidi="ar"/>
        </w:rPr>
        <w:t xml:space="preserve">  边境地区转移支付资金是由中央设立的一般性转移支付资金。</w:t>
      </w:r>
    </w:p>
    <w:p w14:paraId="6216BF6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第三条</w:t>
      </w:r>
      <w:r>
        <w:rPr>
          <w:rFonts w:hint="default" w:ascii="Times New Roman" w:hAnsi="Times New Roman" w:eastAsia="仿宋" w:cs="Times New Roman"/>
          <w:snapToGrid/>
          <w:color w:val="000000"/>
          <w:kern w:val="0"/>
          <w:sz w:val="32"/>
          <w:szCs w:val="32"/>
          <w:highlight w:val="none"/>
          <w:lang w:val="en-US" w:eastAsia="zh-CN" w:bidi="ar"/>
        </w:rPr>
        <w:t xml:space="preserve">  边境地区转移支付资金的管理和使用应遵循明确用途、突出重点、公开透明、注重实效的原则。</w:t>
      </w:r>
    </w:p>
    <w:p w14:paraId="70A3A39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p>
    <w:p w14:paraId="11DCFCB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napToGrid/>
          <w:color w:val="000000"/>
          <w:kern w:val="0"/>
          <w:sz w:val="32"/>
          <w:szCs w:val="32"/>
          <w:highlight w:val="none"/>
          <w:lang w:val="en-US" w:eastAsia="zh-CN" w:bidi="ar"/>
        </w:rPr>
      </w:pPr>
      <w:r>
        <w:rPr>
          <w:rFonts w:hint="default" w:ascii="Times New Roman" w:hAnsi="Times New Roman" w:eastAsia="黑体" w:cs="Times New Roman"/>
          <w:snapToGrid/>
          <w:color w:val="000000"/>
          <w:kern w:val="0"/>
          <w:sz w:val="32"/>
          <w:szCs w:val="32"/>
          <w:highlight w:val="none"/>
          <w:lang w:val="en-US" w:eastAsia="zh-CN" w:bidi="ar"/>
        </w:rPr>
        <w:t>第二章  资金支出要求及方向</w:t>
      </w:r>
    </w:p>
    <w:p w14:paraId="29B277A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第四条</w:t>
      </w:r>
      <w:r>
        <w:rPr>
          <w:rFonts w:hint="default" w:ascii="Times New Roman" w:hAnsi="Times New Roman" w:eastAsia="仿宋" w:cs="Times New Roman"/>
          <w:snapToGrid/>
          <w:color w:val="000000"/>
          <w:kern w:val="0"/>
          <w:sz w:val="32"/>
          <w:szCs w:val="32"/>
          <w:highlight w:val="none"/>
          <w:lang w:val="en-US" w:eastAsia="zh-CN" w:bidi="ar"/>
        </w:rPr>
        <w:t xml:space="preserve"> 同江市内依法经营、 </w:t>
      </w:r>
      <w:r>
        <w:rPr>
          <w:rFonts w:hint="eastAsia" w:ascii="Times New Roman" w:hAnsi="Times New Roman" w:eastAsia="仿宋" w:cs="Times New Roman"/>
          <w:snapToGrid/>
          <w:color w:val="000000"/>
          <w:kern w:val="0"/>
          <w:sz w:val="32"/>
          <w:szCs w:val="32"/>
          <w:highlight w:val="none"/>
          <w:lang w:val="en-US" w:eastAsia="zh-CN" w:bidi="ar"/>
        </w:rPr>
        <w:t>且</w:t>
      </w:r>
      <w:r>
        <w:rPr>
          <w:rFonts w:hint="default" w:ascii="Times New Roman" w:hAnsi="Times New Roman" w:eastAsia="仿宋" w:cs="Times New Roman"/>
          <w:snapToGrid/>
          <w:color w:val="000000"/>
          <w:kern w:val="0"/>
          <w:sz w:val="32"/>
          <w:szCs w:val="32"/>
          <w:highlight w:val="none"/>
          <w:lang w:val="en-US" w:eastAsia="zh-CN" w:bidi="ar"/>
        </w:rPr>
        <w:t>申请同江市边境地区转移支付资金的主体必须具备以下条件：</w:t>
      </w:r>
    </w:p>
    <w:p w14:paraId="5ED5192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（一）申请转移支付资金补助的主体为从事边境小额贸易方式进出口商品的企业。</w:t>
      </w:r>
    </w:p>
    <w:p w14:paraId="791976C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（二）具有健全的财务管理机构、合格的财务管理人员和严格的财务管理制度。</w:t>
      </w:r>
    </w:p>
    <w:p w14:paraId="0C9FBD4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（三）未发生拖欠、挪用国家各类基金、资金等行为和偷税、漏税等违法行为。</w:t>
      </w:r>
    </w:p>
    <w:p w14:paraId="06597B3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第五条</w:t>
      </w:r>
      <w:r>
        <w:rPr>
          <w:rFonts w:hint="default" w:ascii="Times New Roman" w:hAnsi="Times New Roman" w:eastAsia="仿宋" w:cs="Times New Roman"/>
          <w:snapToGrid/>
          <w:color w:val="000000"/>
          <w:kern w:val="0"/>
          <w:sz w:val="32"/>
          <w:szCs w:val="32"/>
          <w:highlight w:val="none"/>
          <w:lang w:val="en-US" w:eastAsia="zh-CN" w:bidi="ar"/>
        </w:rPr>
        <w:t xml:space="preserve">  同江市边境地区转移支付资金具体用途及支持方式：</w:t>
      </w:r>
    </w:p>
    <w:p w14:paraId="4FA92FA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（一）支持边境口岸、通道建设项目。包括基础设施建设补助和企业为进口所发生的贷款贴息，重点支持东、西两港口岸基础设施和配套设施改造、扩建项目。</w:t>
      </w:r>
    </w:p>
    <w:p w14:paraId="1E27A94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（二）支持企业服务平台建设项目。包括为加速口岸运转，改善通关条件建设的公共信息服务系统、仓储、市场等平台类设施建设项目投入的资金进行补助及贷款贴息。</w:t>
      </w:r>
    </w:p>
    <w:p w14:paraId="0CBD30F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三）支持边境小额贸易企业能力建设项目。促进边境小额贸易企业发展以及加强地方政府对企业发展和能力建设的支持，包括企业为加快边境贸易发展建设的进出口基地项目或拓展边境贸易给予支持，主要用于项目投入资金进行补助或开展边境小额贸易方式进口的贷款贴息。</w:t>
      </w:r>
    </w:p>
    <w:p w14:paraId="2CACEF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 w:cs="Times New Roman"/>
          <w:snapToGrid/>
          <w:color w:val="000000"/>
          <w:kern w:val="0"/>
          <w:sz w:val="32"/>
          <w:szCs w:val="32"/>
          <w:highlight w:val="none"/>
          <w:lang w:val="en-US" w:eastAsia="zh-CN" w:bidi="ar"/>
        </w:rPr>
      </w:pPr>
      <w:bookmarkStart w:id="4" w:name="OLE_LINK1"/>
      <w:r>
        <w:rPr>
          <w:rFonts w:hint="default" w:ascii="Times New Roman" w:hAnsi="Times New Roman" w:eastAsia="仿宋" w:cs="Times New Roman"/>
          <w:snapToGrid/>
          <w:color w:val="000000"/>
          <w:kern w:val="0"/>
          <w:sz w:val="32"/>
          <w:szCs w:val="32"/>
          <w:highlight w:val="none"/>
          <w:lang w:val="en-US" w:eastAsia="zh-CN" w:bidi="ar"/>
        </w:rPr>
        <w:t>（四</w:t>
      </w:r>
      <w:bookmarkEnd w:id="4"/>
      <w:r>
        <w:rPr>
          <w:rFonts w:hint="default"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en-US" w:bidi="ar"/>
        </w:rPr>
        <w:t>加强边境管控能力。</w:t>
      </w:r>
      <w:r>
        <w:rPr>
          <w:rFonts w:hint="default" w:ascii="Times New Roman" w:hAnsi="Times New Roman" w:eastAsia="仿宋" w:cs="Times New Roman"/>
          <w:snapToGrid/>
          <w:color w:val="000000"/>
          <w:kern w:val="0"/>
          <w:sz w:val="32"/>
          <w:szCs w:val="32"/>
          <w:highlight w:val="none"/>
          <w:lang w:val="en-US" w:eastAsia="zh-CN" w:bidi="ar"/>
        </w:rPr>
        <w:t>改善边境地区民生，确保将党中央、国务院对边境地区人民关怀落到实处，向符合条件的农村居民发放补助补贴。纳入一线边民补助范围人员</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经省认定边境一线村屯居住的居民。分别为：同江镇（新光村、新发村），三村镇（头村村、二村村、三村村），街津口</w:t>
      </w:r>
      <w:r>
        <w:rPr>
          <w:rFonts w:hint="eastAsia" w:ascii="Times New Roman" w:hAnsi="Times New Roman" w:eastAsia="仿宋" w:cs="Times New Roman"/>
          <w:snapToGrid/>
          <w:color w:val="000000"/>
          <w:kern w:val="0"/>
          <w:sz w:val="32"/>
          <w:szCs w:val="32"/>
          <w:highlight w:val="none"/>
          <w:lang w:val="en-US" w:eastAsia="zh-CN" w:bidi="ar"/>
        </w:rPr>
        <w:t>赫哲族</w:t>
      </w:r>
      <w:r>
        <w:rPr>
          <w:rFonts w:hint="default" w:ascii="Times New Roman" w:hAnsi="Times New Roman" w:eastAsia="仿宋" w:cs="Times New Roman"/>
          <w:snapToGrid/>
          <w:color w:val="000000"/>
          <w:kern w:val="0"/>
          <w:sz w:val="32"/>
          <w:szCs w:val="32"/>
          <w:highlight w:val="none"/>
          <w:lang w:val="en-US" w:eastAsia="zh-CN" w:bidi="ar"/>
        </w:rPr>
        <w:t>乡（卫明村、渔业村、卫国村、卫星村、卫垦村），临江镇（合兴村、富江村、临江村、富民村、富川村），八岔</w:t>
      </w:r>
      <w:r>
        <w:rPr>
          <w:rFonts w:hint="eastAsia" w:ascii="Times New Roman" w:hAnsi="Times New Roman" w:eastAsia="仿宋" w:cs="Times New Roman"/>
          <w:snapToGrid/>
          <w:color w:val="000000"/>
          <w:kern w:val="0"/>
          <w:sz w:val="32"/>
          <w:szCs w:val="32"/>
          <w:highlight w:val="none"/>
          <w:lang w:val="en-US" w:eastAsia="zh-CN" w:bidi="ar"/>
        </w:rPr>
        <w:t>赫哲族</w:t>
      </w:r>
      <w:r>
        <w:rPr>
          <w:rFonts w:hint="default" w:ascii="Times New Roman" w:hAnsi="Times New Roman" w:eastAsia="仿宋" w:cs="Times New Roman"/>
          <w:snapToGrid/>
          <w:color w:val="000000"/>
          <w:kern w:val="0"/>
          <w:sz w:val="32"/>
          <w:szCs w:val="32"/>
          <w:highlight w:val="none"/>
          <w:lang w:val="en-US" w:eastAsia="zh-CN" w:bidi="ar"/>
        </w:rPr>
        <w:t>乡（八岔村、新强村、新颜村、新胜村）共19个村</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具有抵边行政村农村户籍且年度抵边村累计居住时间达到半年以上的农村居民。</w:t>
      </w:r>
    </w:p>
    <w:p w14:paraId="09C2617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（五）我市同江镇、三村镇、街津口赫哲族乡、临江镇、八岔赫哲族乡为边境乡镇，按照相关标准及要求安排边境乡镇管控补助经费及乡镇管控（抵边村）补助经费。</w:t>
      </w:r>
      <w:bookmarkStart w:id="5" w:name="OLE_LINK2"/>
    </w:p>
    <w:p w14:paraId="3CDF3D0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bookmarkStart w:id="6" w:name="OLE_LINK5"/>
      <w:r>
        <w:rPr>
          <w:rFonts w:hint="default" w:ascii="Times New Roman" w:hAnsi="Times New Roman" w:eastAsia="仿宋" w:cs="Times New Roman"/>
          <w:snapToGrid/>
          <w:color w:val="000000"/>
          <w:kern w:val="0"/>
          <w:sz w:val="32"/>
          <w:szCs w:val="32"/>
          <w:highlight w:val="none"/>
          <w:lang w:val="en-US" w:eastAsia="zh-CN" w:bidi="ar"/>
        </w:rPr>
        <w:t>（六</w:t>
      </w:r>
      <w:bookmarkEnd w:id="5"/>
      <w:bookmarkEnd w:id="6"/>
      <w:r>
        <w:rPr>
          <w:rFonts w:hint="default"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en-US" w:bidi="ar"/>
        </w:rPr>
        <w:t>建立护边员补助机制。边境市县要按照中央有关要求，结合本地实际建立健全护边员制度，</w:t>
      </w:r>
      <w:r>
        <w:rPr>
          <w:rFonts w:hint="eastAsia" w:ascii="Times New Roman" w:hAnsi="Times New Roman" w:eastAsia="仿宋" w:cs="Times New Roman"/>
          <w:snapToGrid/>
          <w:color w:val="000000"/>
          <w:kern w:val="0"/>
          <w:sz w:val="32"/>
          <w:szCs w:val="32"/>
          <w:highlight w:val="none"/>
          <w:lang w:val="en-US" w:eastAsia="zh-CN" w:bidi="ar"/>
        </w:rPr>
        <w:t>由边境派出所和乡镇政府共同认定，聘用边境乡镇居民担任护边员，</w:t>
      </w:r>
      <w:r>
        <w:rPr>
          <w:rFonts w:hint="default" w:ascii="Times New Roman" w:hAnsi="Times New Roman" w:eastAsia="仿宋" w:cs="Times New Roman"/>
          <w:snapToGrid/>
          <w:color w:val="000000"/>
          <w:kern w:val="0"/>
          <w:sz w:val="32"/>
          <w:szCs w:val="32"/>
          <w:highlight w:val="none"/>
          <w:lang w:val="en-US" w:eastAsia="en-US" w:bidi="ar"/>
        </w:rPr>
        <w:t>对护边员根据工作情况给予一定的补贴</w:t>
      </w:r>
      <w:r>
        <w:rPr>
          <w:rFonts w:hint="default" w:ascii="Times New Roman" w:hAnsi="Times New Roman" w:eastAsia="仿宋" w:cs="Times New Roman"/>
          <w:snapToGrid/>
          <w:color w:val="000000"/>
          <w:kern w:val="0"/>
          <w:sz w:val="32"/>
          <w:szCs w:val="32"/>
          <w:highlight w:val="none"/>
          <w:lang w:val="en-US" w:eastAsia="zh-CN" w:bidi="ar"/>
        </w:rPr>
        <w:t>。</w:t>
      </w:r>
    </w:p>
    <w:p w14:paraId="6F38C0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bookmarkStart w:id="7" w:name="OLE_LINK6"/>
      <w:r>
        <w:rPr>
          <w:rFonts w:hint="default" w:ascii="Times New Roman" w:hAnsi="Times New Roman" w:eastAsia="仿宋" w:cs="Times New Roman"/>
          <w:snapToGrid/>
          <w:color w:val="000000"/>
          <w:kern w:val="0"/>
          <w:sz w:val="32"/>
          <w:szCs w:val="32"/>
          <w:highlight w:val="none"/>
          <w:lang w:val="en-US" w:eastAsia="zh-CN" w:bidi="ar"/>
        </w:rPr>
        <w:t>（七</w:t>
      </w:r>
      <w:bookmarkEnd w:id="7"/>
      <w:r>
        <w:rPr>
          <w:rFonts w:hint="default" w:ascii="Times New Roman" w:hAnsi="Times New Roman" w:eastAsia="仿宋" w:cs="Times New Roman"/>
          <w:snapToGrid/>
          <w:color w:val="000000"/>
          <w:kern w:val="0"/>
          <w:sz w:val="32"/>
          <w:szCs w:val="32"/>
          <w:highlight w:val="none"/>
          <w:lang w:val="en-US" w:eastAsia="zh-CN" w:bidi="ar"/>
        </w:rPr>
        <w:t>）保障口岸正常运转。用于维护边境口岸运转，支持货物中转仓和隔离场所等基础设施改造建设、改善通关条件等。</w:t>
      </w:r>
    </w:p>
    <w:p w14:paraId="21E34D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（八）其他。统筹用于支持边境地区改善民生、稳定发展等其他支出。</w:t>
      </w:r>
    </w:p>
    <w:p w14:paraId="070F624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第六条</w:t>
      </w:r>
      <w:r>
        <w:rPr>
          <w:rFonts w:hint="default" w:ascii="Times New Roman" w:hAnsi="Times New Roman" w:eastAsia="仿宋" w:cs="Times New Roman"/>
          <w:snapToGrid/>
          <w:color w:val="000000"/>
          <w:kern w:val="0"/>
          <w:sz w:val="32"/>
          <w:szCs w:val="32"/>
          <w:highlight w:val="none"/>
          <w:lang w:val="en-US" w:eastAsia="zh-CN" w:bidi="ar"/>
        </w:rPr>
        <w:t xml:space="preserve">  边境地区转移支付资金支持标准：</w:t>
      </w:r>
    </w:p>
    <w:p w14:paraId="5639890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（一</w:t>
      </w:r>
      <w:bookmarkStart w:id="8" w:name="OLE_LINK7"/>
      <w:r>
        <w:rPr>
          <w:rFonts w:hint="default" w:ascii="Times New Roman" w:hAnsi="Times New Roman" w:eastAsia="仿宋" w:cs="Times New Roman"/>
          <w:snapToGrid/>
          <w:color w:val="000000"/>
          <w:kern w:val="0"/>
          <w:sz w:val="32"/>
          <w:szCs w:val="32"/>
          <w:highlight w:val="none"/>
          <w:lang w:val="en-US" w:eastAsia="zh-CN" w:bidi="ar"/>
        </w:rPr>
        <w:t>）对在同江为改善口岸发展环境的基础设施建设项目，每个项目直接补助原则上按企业实际投资额的30%给予补助，最高不超过300万元。</w:t>
      </w:r>
      <w:bookmarkEnd w:id="8"/>
    </w:p>
    <w:p w14:paraId="6C491C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（二</w:t>
      </w:r>
      <w:bookmarkStart w:id="9" w:name="OLE_LINK8"/>
      <w:r>
        <w:rPr>
          <w:rFonts w:hint="default" w:ascii="Times New Roman" w:hAnsi="Times New Roman" w:eastAsia="仿宋" w:cs="Times New Roman"/>
          <w:snapToGrid/>
          <w:color w:val="000000"/>
          <w:kern w:val="0"/>
          <w:sz w:val="32"/>
          <w:szCs w:val="32"/>
          <w:highlight w:val="none"/>
          <w:lang w:val="en-US" w:eastAsia="zh-CN" w:bidi="ar"/>
        </w:rPr>
        <w:t>）对在同江为改善口岸发展环境的基础设施建设项目所发生的贷款利息给予一定的贷款贴息（贴息期限为一年）支持，每个项目贴息资金原则上按50%给予贴息，最高限额200万</w:t>
      </w:r>
      <w:bookmarkEnd w:id="9"/>
      <w:r>
        <w:rPr>
          <w:rFonts w:hint="default" w:ascii="Times New Roman" w:hAnsi="Times New Roman" w:eastAsia="仿宋" w:cs="Times New Roman"/>
          <w:snapToGrid/>
          <w:color w:val="000000"/>
          <w:kern w:val="0"/>
          <w:sz w:val="32"/>
          <w:szCs w:val="32"/>
          <w:highlight w:val="none"/>
          <w:lang w:val="en-US" w:eastAsia="zh-CN" w:bidi="ar"/>
        </w:rPr>
        <w:t>元。</w:t>
      </w:r>
    </w:p>
    <w:p w14:paraId="438C94B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（三</w:t>
      </w:r>
      <w:bookmarkStart w:id="10" w:name="OLE_LINK9"/>
      <w:r>
        <w:rPr>
          <w:rFonts w:hint="default" w:ascii="Times New Roman" w:hAnsi="Times New Roman" w:eastAsia="仿宋" w:cs="Times New Roman"/>
          <w:snapToGrid/>
          <w:color w:val="000000"/>
          <w:kern w:val="0"/>
          <w:sz w:val="32"/>
          <w:szCs w:val="32"/>
          <w:highlight w:val="none"/>
          <w:lang w:val="en-US" w:eastAsia="zh-CN" w:bidi="ar"/>
        </w:rPr>
        <w:t>）对外经贸企业为扩大边境小额贸易而发生的流动资金贷款给予贷款贴息。企业贴息范围是指在国家商业银行类金融机构申请的贷款产生的利息，</w:t>
      </w:r>
      <w:bookmarkEnd w:id="10"/>
      <w:r>
        <w:rPr>
          <w:rFonts w:hint="default" w:ascii="Times New Roman" w:hAnsi="Times New Roman" w:eastAsia="仿宋" w:cs="Times New Roman"/>
          <w:snapToGrid/>
          <w:color w:val="000000"/>
          <w:kern w:val="0"/>
          <w:sz w:val="32"/>
          <w:szCs w:val="32"/>
          <w:highlight w:val="none"/>
          <w:lang w:val="en-US" w:eastAsia="zh-CN" w:bidi="ar"/>
        </w:rPr>
        <w:t>贴息内容包括：信托收据贷款利息、委托付款利息、承兑汇票贴现利息、进口押汇利息和国内信用证贴现利息等，贴息期限为当年产生的利息，贴息额度按贷款年利息总额的50%给予贴息；对外经贸企业经营中发生的运输保险费给予50%的补助，单户企业每年度享受的各类补贴总额最高限额不超过2000万元。对于在非银行类金融机构申请贷款产生的利息及费用一律不予支持。</w:t>
      </w:r>
    </w:p>
    <w:p w14:paraId="5C41F0F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（四</w:t>
      </w:r>
      <w:bookmarkStart w:id="11" w:name="OLE_LINK10"/>
      <w:r>
        <w:rPr>
          <w:rFonts w:hint="default" w:ascii="Times New Roman" w:hAnsi="Times New Roman" w:eastAsia="仿宋" w:cs="Times New Roman"/>
          <w:snapToGrid/>
          <w:color w:val="000000"/>
          <w:kern w:val="0"/>
          <w:sz w:val="32"/>
          <w:szCs w:val="32"/>
          <w:highlight w:val="none"/>
          <w:lang w:val="en-US" w:eastAsia="zh-CN" w:bidi="ar"/>
        </w:rPr>
        <w:t>）支持边境小额贸易企业能力建设。对外经贸企业为加快边境贸易发展在同江投资建设的进出口基地项目给予补贴，按单个企业的实际投资金额的50%给予补助，</w:t>
      </w:r>
      <w:bookmarkEnd w:id="11"/>
      <w:r>
        <w:rPr>
          <w:rFonts w:hint="default" w:ascii="Times New Roman" w:hAnsi="Times New Roman" w:eastAsia="仿宋" w:cs="Times New Roman"/>
          <w:snapToGrid/>
          <w:color w:val="000000"/>
          <w:kern w:val="0"/>
          <w:sz w:val="32"/>
          <w:szCs w:val="32"/>
          <w:highlight w:val="none"/>
          <w:lang w:val="en-US" w:eastAsia="zh-CN" w:bidi="ar"/>
        </w:rPr>
        <w:t>最高不超过200万元。</w:t>
      </w:r>
    </w:p>
    <w:p w14:paraId="277E968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（五）边民补贴标准按照省相关文件（涉密）标准执行。村委会、乡</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镇</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政府、乡</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镇</w:t>
      </w:r>
      <w:r>
        <w:rPr>
          <w:rFonts w:hint="eastAsia" w:ascii="Times New Roman" w:hAnsi="Times New Roman" w:eastAsia="仿宋" w:cs="Times New Roman"/>
          <w:snapToGrid/>
          <w:color w:val="000000"/>
          <w:kern w:val="0"/>
          <w:sz w:val="32"/>
          <w:szCs w:val="32"/>
          <w:highlight w:val="none"/>
          <w:lang w:val="en-US" w:eastAsia="zh-CN" w:bidi="ar"/>
        </w:rPr>
        <w:t>）</w:t>
      </w:r>
      <w:r>
        <w:rPr>
          <w:rFonts w:hint="default" w:ascii="Times New Roman" w:hAnsi="Times New Roman" w:eastAsia="仿宋" w:cs="Times New Roman"/>
          <w:snapToGrid/>
          <w:color w:val="000000"/>
          <w:kern w:val="0"/>
          <w:sz w:val="32"/>
          <w:szCs w:val="32"/>
          <w:highlight w:val="none"/>
          <w:lang w:val="en-US" w:eastAsia="zh-CN" w:bidi="ar"/>
        </w:rPr>
        <w:t>派出所、公安局负责审核边民补贴人员享受资格，乡镇政府负责发放补贴，财政局负责资金保障。</w:t>
      </w:r>
    </w:p>
    <w:p w14:paraId="3F81C11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（六）按照市委提供标准及省文件（涉密）要求安排乡镇管控补助经费及乡镇管控（抵边村）补助经费，用于村边境管理、参与管理人员误工补助、巡逻执勤、应急演练等支出。</w:t>
      </w:r>
    </w:p>
    <w:p w14:paraId="4B41F51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bookmarkStart w:id="12" w:name="OLE_LINK4"/>
      <w:r>
        <w:rPr>
          <w:rFonts w:hint="default" w:ascii="Times New Roman" w:hAnsi="Times New Roman" w:eastAsia="仿宋" w:cs="Times New Roman"/>
          <w:snapToGrid/>
          <w:color w:val="000000"/>
          <w:kern w:val="0"/>
          <w:sz w:val="32"/>
          <w:szCs w:val="32"/>
          <w:highlight w:val="none"/>
          <w:lang w:val="en-US" w:eastAsia="zh-CN" w:bidi="ar"/>
        </w:rPr>
        <w:t>（七</w:t>
      </w:r>
      <w:bookmarkEnd w:id="12"/>
      <w:r>
        <w:rPr>
          <w:rFonts w:hint="default" w:ascii="Times New Roman" w:hAnsi="Times New Roman" w:eastAsia="仿宋" w:cs="Times New Roman"/>
          <w:snapToGrid/>
          <w:color w:val="000000"/>
          <w:kern w:val="0"/>
          <w:sz w:val="32"/>
          <w:szCs w:val="32"/>
          <w:highlight w:val="none"/>
          <w:lang w:val="en-US" w:eastAsia="zh-CN" w:bidi="ar"/>
        </w:rPr>
        <w:t>）从2024年起，根据工作情况对护边员给予补贴，按照省相关文件（涉密）标准执行。公安边防部门负责护边员的聘用、日常管理和年度考核工作，财政局负责资金保障。</w:t>
      </w:r>
    </w:p>
    <w:p w14:paraId="0509B38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p>
    <w:p w14:paraId="14C56A48">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napToGrid/>
          <w:color w:val="000000"/>
          <w:kern w:val="0"/>
          <w:sz w:val="32"/>
          <w:szCs w:val="32"/>
          <w:highlight w:val="none"/>
          <w:lang w:val="en-US" w:eastAsia="zh-CN" w:bidi="ar"/>
        </w:rPr>
      </w:pPr>
      <w:r>
        <w:rPr>
          <w:rFonts w:hint="default" w:ascii="Times New Roman" w:hAnsi="Times New Roman" w:eastAsia="黑体" w:cs="Times New Roman"/>
          <w:snapToGrid/>
          <w:color w:val="000000"/>
          <w:kern w:val="0"/>
          <w:sz w:val="32"/>
          <w:szCs w:val="32"/>
          <w:highlight w:val="none"/>
          <w:lang w:val="en-US" w:eastAsia="zh-CN" w:bidi="ar"/>
        </w:rPr>
        <w:t>第三章  资金申请方式</w:t>
      </w:r>
    </w:p>
    <w:p w14:paraId="6EEA13E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第七条</w:t>
      </w:r>
      <w:r>
        <w:rPr>
          <w:rFonts w:hint="default" w:ascii="Times New Roman" w:hAnsi="Times New Roman" w:eastAsia="仿宋" w:cs="Times New Roman"/>
          <w:snapToGrid/>
          <w:color w:val="000000"/>
          <w:kern w:val="0"/>
          <w:sz w:val="32"/>
          <w:szCs w:val="32"/>
          <w:highlight w:val="none"/>
          <w:lang w:val="en-US" w:eastAsia="zh-CN" w:bidi="ar"/>
        </w:rPr>
        <w:t xml:space="preserve">  申请边境地区转移支付资金企业应该提交材料</w:t>
      </w:r>
    </w:p>
    <w:p w14:paraId="2AE4DE8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（一）企业申请边境地区转移支付资金申请表。</w:t>
      </w:r>
    </w:p>
    <w:p w14:paraId="046B1F3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（二）申请口岸通道建设、进出口基地项目建设政府平台 建设项目补贴，企业需提供项目可研报告及同级政府和相关部门批准文件；属贷款贴息的项目应提供企业与银行签订的贷款合同及利息清单和费用单据等原始单据。</w:t>
      </w:r>
    </w:p>
    <w:p w14:paraId="191503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（三）申请运输保险费补助，企业须提供：货物运输保险单、供货合同等材料。</w:t>
      </w:r>
    </w:p>
    <w:p w14:paraId="6D9D9BC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（四）申请担保费补助，企业须提供：担保公司的工商营  业执照、省金融办颁发的金融许可证、原始验资报告、当地政府批准该国有独资担保公司成立的批准文件，申请企业的缴纳担保费用的完税发票、担保合同等材料。</w:t>
      </w:r>
    </w:p>
    <w:p w14:paraId="0058A98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（五）企业上报项目需提供经会计师事务所审定出具的上一年度财务决算报告。</w:t>
      </w:r>
    </w:p>
    <w:p w14:paraId="0CD80ED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（六）财政局及商务和口岸局有权要求申报企业提供其他与项目有关的证明。</w:t>
      </w:r>
    </w:p>
    <w:p w14:paraId="5806F16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第八条</w:t>
      </w:r>
      <w:r>
        <w:rPr>
          <w:rFonts w:hint="default" w:ascii="Times New Roman" w:hAnsi="Times New Roman" w:eastAsia="仿宋" w:cs="Times New Roman"/>
          <w:snapToGrid/>
          <w:color w:val="000000"/>
          <w:kern w:val="0"/>
          <w:sz w:val="32"/>
          <w:szCs w:val="32"/>
          <w:highlight w:val="none"/>
          <w:lang w:val="en-US" w:eastAsia="zh-CN" w:bidi="ar"/>
        </w:rPr>
        <w:t xml:space="preserve">  边境地区转移支付资金申报及审批程序</w:t>
      </w:r>
    </w:p>
    <w:p w14:paraId="433F60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企业向商务和口岸局、财政局上报外贸边境地区转移支付资金申请，由商务和口岸局负责对上报材料初审并签署审核意见后，报政府同意批复后，由财政局复核拨付给企业，企业收到扶持资金后，要严格按照国家有关财务规定处理账务。企业申报专项转移支付资金的材料，应于每个季度结束后20日内提交，逾期不受理。</w:t>
      </w:r>
    </w:p>
    <w:p w14:paraId="74B2392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第九条</w:t>
      </w:r>
      <w:r>
        <w:rPr>
          <w:rFonts w:hint="default" w:ascii="Times New Roman" w:hAnsi="Times New Roman" w:eastAsia="仿宋" w:cs="Times New Roman"/>
          <w:snapToGrid/>
          <w:color w:val="000000"/>
          <w:kern w:val="0"/>
          <w:sz w:val="32"/>
          <w:szCs w:val="32"/>
          <w:highlight w:val="none"/>
          <w:lang w:val="en-US" w:eastAsia="zh-CN" w:bidi="ar"/>
        </w:rPr>
        <w:t xml:space="preserve">  边境地区转移支付资金监督管理与检查</w:t>
      </w:r>
    </w:p>
    <w:p w14:paraId="41C815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（一）各申报项目单位必须保证专款专用，不得任意改变资金用途和扩大使用范围，随时接受财政局和商务和口岸局监督管理。</w:t>
      </w:r>
    </w:p>
    <w:p w14:paraId="34104C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二）财政局与商务和口岸局将定期对资金使用情况进行监督检查，对检查中发现问题及时提出整改意见，对截留、挤占、挪用以及虚报瞒报等骗取专项转移支付资金的，除责令其立即纠正、整改、追回资金外，三年内不予扶持该企业。</w:t>
      </w:r>
    </w:p>
    <w:p w14:paraId="0F9E451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snapToGrid/>
          <w:color w:val="000000"/>
          <w:kern w:val="0"/>
          <w:sz w:val="32"/>
          <w:szCs w:val="32"/>
          <w:highlight w:val="none"/>
          <w:lang w:val="en-US" w:eastAsia="zh-CN" w:bidi="ar"/>
        </w:rPr>
        <w:t>（三）企业在申报项目执行过程中如有重大违约行为，将终止项目申报，并采用通报、停止拨款、追回项目资金等相应处理措施。如资金已发放需追回项目资金时，由主管单位负责监督企业将未使用资金如数上缴财政国库，已形成资产的，将资产变现后上缴财政国库。</w:t>
      </w:r>
    </w:p>
    <w:p w14:paraId="7D4D391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第十条</w:t>
      </w:r>
      <w:r>
        <w:rPr>
          <w:rFonts w:hint="default" w:ascii="Times New Roman" w:hAnsi="Times New Roman" w:eastAsia="仿宋" w:cs="Times New Roman"/>
          <w:snapToGrid/>
          <w:color w:val="000000"/>
          <w:kern w:val="0"/>
          <w:sz w:val="32"/>
          <w:szCs w:val="32"/>
          <w:highlight w:val="none"/>
          <w:lang w:val="en-US" w:eastAsia="zh-CN" w:bidi="ar"/>
        </w:rPr>
        <w:t xml:space="preserve">  本办法自发布之日起实施，有效期为3年。</w:t>
      </w:r>
    </w:p>
    <w:p w14:paraId="6D119DB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napToGrid/>
          <w:color w:val="000000"/>
          <w:kern w:val="0"/>
          <w:sz w:val="32"/>
          <w:szCs w:val="32"/>
          <w:highlight w:val="none"/>
          <w:lang w:val="en-US" w:eastAsia="zh-CN" w:bidi="ar"/>
        </w:rPr>
      </w:pPr>
      <w:r>
        <w:rPr>
          <w:rFonts w:hint="default" w:ascii="Times New Roman" w:hAnsi="Times New Roman" w:eastAsia="仿宋" w:cs="Times New Roman"/>
          <w:b/>
          <w:bCs/>
          <w:snapToGrid/>
          <w:color w:val="000000"/>
          <w:kern w:val="0"/>
          <w:sz w:val="32"/>
          <w:szCs w:val="32"/>
          <w:highlight w:val="none"/>
          <w:lang w:val="en-US" w:eastAsia="zh-CN" w:bidi="ar"/>
        </w:rPr>
        <w:t>第十一条</w:t>
      </w:r>
      <w:r>
        <w:rPr>
          <w:rFonts w:hint="default" w:ascii="Times New Roman" w:hAnsi="Times New Roman" w:eastAsia="仿宋" w:cs="Times New Roman"/>
          <w:snapToGrid/>
          <w:color w:val="000000"/>
          <w:kern w:val="0"/>
          <w:sz w:val="32"/>
          <w:szCs w:val="32"/>
          <w:highlight w:val="none"/>
          <w:lang w:val="en-US" w:eastAsia="zh-CN" w:bidi="ar"/>
        </w:rPr>
        <w:t xml:space="preserve">  本办法未尽事宜由财政局、商务和口岸局及相关负责项目资金主管部门负责解释。</w:t>
      </w:r>
    </w:p>
    <w:p w14:paraId="21CA30D1">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D8A56BB">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D58CF2A">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2060FE37">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7C4F8ED7">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0770B61A">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0AA25850">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1BFA4B96">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2EB694D3">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64B7260">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48431661">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2A65A810">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7F699F2">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0B0F699A">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4C781439">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725AF4F">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598E7CDE">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p w14:paraId="4ADD1B73">
      <w:pPr>
        <w:pStyle w:val="2"/>
        <w:ind w:left="0" w:leftChars="0" w:firstLine="0" w:firstLineChars="0"/>
        <w:rPr>
          <w:rFonts w:hint="default" w:ascii="Times New Roman" w:hAnsi="Times New Roman" w:eastAsia="仿宋" w:cs="Times New Roman"/>
          <w:snapToGrid/>
          <w:color w:val="000000"/>
          <w:kern w:val="0"/>
          <w:sz w:val="32"/>
          <w:szCs w:val="32"/>
          <w:highlight w:val="none"/>
          <w:lang w:val="en-US" w:eastAsia="zh-CN" w:bidi="ar"/>
        </w:rPr>
      </w:pPr>
    </w:p>
    <w:tbl>
      <w:tblPr>
        <w:tblStyle w:val="13"/>
        <w:tblpPr w:leftFromText="180" w:rightFromText="180" w:vertAnchor="text" w:horzAnchor="page" w:tblpX="1896" w:tblpY="519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3CE6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27BCD084">
            <w:pPr>
              <w:tabs>
                <w:tab w:val="left" w:pos="846"/>
              </w:tabs>
              <w:bidi w:val="0"/>
              <w:ind w:firstLine="280" w:firstLineChars="100"/>
              <w:jc w:val="left"/>
              <w:rPr>
                <w:rFonts w:hint="default" w:ascii="Times New Roman" w:hAnsi="Times New Roman" w:eastAsia="宋体" w:cs="Times New Roman"/>
                <w:highlight w:val="none"/>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04B9B6BD">
            <w:pPr>
              <w:tabs>
                <w:tab w:val="left" w:pos="846"/>
              </w:tabs>
              <w:bidi w:val="0"/>
              <w:ind w:firstLine="1120" w:firstLineChars="400"/>
              <w:jc w:val="left"/>
              <w:rPr>
                <w:rFonts w:hint="default" w:ascii="Times New Roman" w:hAnsi="Times New Roman" w:eastAsia="宋体" w:cs="Times New Roman"/>
                <w:highlight w:val="none"/>
                <w:vertAlign w:val="baseline"/>
                <w:lang w:eastAsia="zh-CN"/>
              </w:rPr>
            </w:pPr>
            <w:r>
              <w:rPr>
                <w:rFonts w:hint="default" w:ascii="Times New Roman" w:hAnsi="Times New Roman" w:eastAsia="仿宋" w:cs="Times New Roman"/>
                <w:color w:val="auto"/>
                <w:sz w:val="28"/>
                <w:szCs w:val="28"/>
                <w:highlight w:val="none"/>
                <w:lang w:val="en-US" w:eastAsia="zh-CN"/>
              </w:rPr>
              <w:t>2025年</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日印发</w:t>
            </w:r>
          </w:p>
        </w:tc>
      </w:tr>
    </w:tbl>
    <w:p w14:paraId="65364DFB">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default" w:ascii="Times New Roman" w:hAnsi="Times New Roman" w:eastAsia="仿宋" w:cs="Times New Roman"/>
          <w:snapToGrid/>
          <w:color w:val="auto"/>
          <w:spacing w:val="-6"/>
          <w:kern w:val="2"/>
          <w:sz w:val="32"/>
          <w:szCs w:val="32"/>
          <w:highlight w:val="none"/>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CE0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655320" cy="3752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5320" cy="375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CFD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5pt;height:29.55pt;width:51.6pt;mso-position-horizontal:outside;mso-position-horizontal-relative:margin;z-index:251659264;mso-width-relative:page;mso-height-relative:page;" filled="f" stroked="f" coordsize="21600,21600" o:gfxdata="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TXvw1QAAAAYBAAAPAAAAAAAAAAEAIAAAACIAAABkcnMvZG93bnJldi54&#10;bWxQSwECFAAUAAAACACHTuJACN1cCjYCAABhBAAADgAAAAAAAAABACAAAAAkAQAAZHJzL2Uyb0Rv&#10;Yy54bWxQSwUGAAAAAAYABgBZAQAAzAUAAAAA&#10;">
              <v:fill on="f" focussize="0,0"/>
              <v:stroke on="f" weight="0.5pt"/>
              <v:imagedata o:title=""/>
              <o:lock v:ext="edit" aspectratio="f"/>
              <v:textbox inset="0mm,0mm,0mm,0mm">
                <w:txbxContent>
                  <w:p w14:paraId="4A68CFD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79DA"/>
    <w:rsid w:val="00D9012D"/>
    <w:rsid w:val="010312EC"/>
    <w:rsid w:val="01A3073B"/>
    <w:rsid w:val="02385327"/>
    <w:rsid w:val="026E6F9B"/>
    <w:rsid w:val="0278367E"/>
    <w:rsid w:val="02BA21E0"/>
    <w:rsid w:val="02C32E43"/>
    <w:rsid w:val="02DE6C21"/>
    <w:rsid w:val="032064E7"/>
    <w:rsid w:val="045C354F"/>
    <w:rsid w:val="04722D72"/>
    <w:rsid w:val="04C226C5"/>
    <w:rsid w:val="04CD5D15"/>
    <w:rsid w:val="051536FE"/>
    <w:rsid w:val="05C0366A"/>
    <w:rsid w:val="06D73361"/>
    <w:rsid w:val="06E93094"/>
    <w:rsid w:val="076F5347"/>
    <w:rsid w:val="07852DBD"/>
    <w:rsid w:val="07FB72FC"/>
    <w:rsid w:val="086724C2"/>
    <w:rsid w:val="08850B9A"/>
    <w:rsid w:val="088E5CA1"/>
    <w:rsid w:val="08A92ADB"/>
    <w:rsid w:val="08E83E8B"/>
    <w:rsid w:val="09C50932"/>
    <w:rsid w:val="09FC6C3A"/>
    <w:rsid w:val="0A71587A"/>
    <w:rsid w:val="0A870BFA"/>
    <w:rsid w:val="0B077F8D"/>
    <w:rsid w:val="0B25248E"/>
    <w:rsid w:val="0B5807E8"/>
    <w:rsid w:val="0B61144B"/>
    <w:rsid w:val="0BA17A99"/>
    <w:rsid w:val="0CD43E9E"/>
    <w:rsid w:val="0CEC11E8"/>
    <w:rsid w:val="0D103128"/>
    <w:rsid w:val="0D3E3AC5"/>
    <w:rsid w:val="0D3F57BC"/>
    <w:rsid w:val="0D464E96"/>
    <w:rsid w:val="0D682F64"/>
    <w:rsid w:val="0D6E7E4F"/>
    <w:rsid w:val="0DB37F58"/>
    <w:rsid w:val="0DEA1BCB"/>
    <w:rsid w:val="0E6574A4"/>
    <w:rsid w:val="0E833DCE"/>
    <w:rsid w:val="0EAF24CD"/>
    <w:rsid w:val="0EF44384"/>
    <w:rsid w:val="0F017B8D"/>
    <w:rsid w:val="0FB73D2F"/>
    <w:rsid w:val="10196798"/>
    <w:rsid w:val="103435D2"/>
    <w:rsid w:val="104B4477"/>
    <w:rsid w:val="111B6540"/>
    <w:rsid w:val="1146778F"/>
    <w:rsid w:val="119D0D03"/>
    <w:rsid w:val="11E20E0C"/>
    <w:rsid w:val="121511E1"/>
    <w:rsid w:val="125E66E4"/>
    <w:rsid w:val="12DB7D35"/>
    <w:rsid w:val="12EF37E0"/>
    <w:rsid w:val="1354060D"/>
    <w:rsid w:val="13906D71"/>
    <w:rsid w:val="13DA7FEC"/>
    <w:rsid w:val="14773801"/>
    <w:rsid w:val="153E1E76"/>
    <w:rsid w:val="156D6C3E"/>
    <w:rsid w:val="15DA2525"/>
    <w:rsid w:val="165F0C7D"/>
    <w:rsid w:val="166632D0"/>
    <w:rsid w:val="16FE2244"/>
    <w:rsid w:val="178C784F"/>
    <w:rsid w:val="17A32DEB"/>
    <w:rsid w:val="17FF2717"/>
    <w:rsid w:val="183A54FD"/>
    <w:rsid w:val="18524B4C"/>
    <w:rsid w:val="187D363C"/>
    <w:rsid w:val="18AA14C9"/>
    <w:rsid w:val="18D47700"/>
    <w:rsid w:val="192817FA"/>
    <w:rsid w:val="199450E1"/>
    <w:rsid w:val="19B412DF"/>
    <w:rsid w:val="19B47531"/>
    <w:rsid w:val="1A1A55E6"/>
    <w:rsid w:val="1A8011C2"/>
    <w:rsid w:val="1AA9696A"/>
    <w:rsid w:val="1B486183"/>
    <w:rsid w:val="1B574618"/>
    <w:rsid w:val="1B6D18C5"/>
    <w:rsid w:val="1B79633D"/>
    <w:rsid w:val="1BB6133F"/>
    <w:rsid w:val="1BCC2910"/>
    <w:rsid w:val="1BD21EF1"/>
    <w:rsid w:val="1BD417C5"/>
    <w:rsid w:val="1BDE2644"/>
    <w:rsid w:val="1C0B4713"/>
    <w:rsid w:val="1C186115"/>
    <w:rsid w:val="1C931680"/>
    <w:rsid w:val="1CA53E48"/>
    <w:rsid w:val="1D1502E7"/>
    <w:rsid w:val="1DD261D8"/>
    <w:rsid w:val="1E5159EB"/>
    <w:rsid w:val="1E544E3F"/>
    <w:rsid w:val="1E8B6B43"/>
    <w:rsid w:val="1E94348E"/>
    <w:rsid w:val="1EA27958"/>
    <w:rsid w:val="1EAE00DE"/>
    <w:rsid w:val="1F0044AB"/>
    <w:rsid w:val="1F705CA9"/>
    <w:rsid w:val="1FF93EF0"/>
    <w:rsid w:val="201C198C"/>
    <w:rsid w:val="205630F0"/>
    <w:rsid w:val="212E7BC9"/>
    <w:rsid w:val="21BC0069"/>
    <w:rsid w:val="21BD78C9"/>
    <w:rsid w:val="22146DBF"/>
    <w:rsid w:val="221C3EC6"/>
    <w:rsid w:val="22C2681B"/>
    <w:rsid w:val="2309269C"/>
    <w:rsid w:val="233A0AA7"/>
    <w:rsid w:val="234209B3"/>
    <w:rsid w:val="2358717F"/>
    <w:rsid w:val="23825FAA"/>
    <w:rsid w:val="23FC3FAF"/>
    <w:rsid w:val="24003A9F"/>
    <w:rsid w:val="2463402E"/>
    <w:rsid w:val="24ED04ED"/>
    <w:rsid w:val="25072C0B"/>
    <w:rsid w:val="254479BB"/>
    <w:rsid w:val="256B13EC"/>
    <w:rsid w:val="25822292"/>
    <w:rsid w:val="25987D07"/>
    <w:rsid w:val="25BC39F6"/>
    <w:rsid w:val="261C4494"/>
    <w:rsid w:val="264F486A"/>
    <w:rsid w:val="26A050C5"/>
    <w:rsid w:val="27604855"/>
    <w:rsid w:val="28A013AD"/>
    <w:rsid w:val="28D01566"/>
    <w:rsid w:val="290A0F1C"/>
    <w:rsid w:val="290F02E0"/>
    <w:rsid w:val="292F2731"/>
    <w:rsid w:val="29494DB0"/>
    <w:rsid w:val="294A57BC"/>
    <w:rsid w:val="29862B06"/>
    <w:rsid w:val="2A17569E"/>
    <w:rsid w:val="2A6C52BE"/>
    <w:rsid w:val="2ACB6489"/>
    <w:rsid w:val="2BE7753C"/>
    <w:rsid w:val="2BF0264B"/>
    <w:rsid w:val="2BF832AE"/>
    <w:rsid w:val="2C0C1DA5"/>
    <w:rsid w:val="2C2B2B40"/>
    <w:rsid w:val="2C31056E"/>
    <w:rsid w:val="2C6B7F24"/>
    <w:rsid w:val="2D55028C"/>
    <w:rsid w:val="2D83304B"/>
    <w:rsid w:val="2D9E60D7"/>
    <w:rsid w:val="2DB80F46"/>
    <w:rsid w:val="2DDE64D3"/>
    <w:rsid w:val="2DE454E3"/>
    <w:rsid w:val="2E8928E3"/>
    <w:rsid w:val="2E9076F3"/>
    <w:rsid w:val="2F234AE5"/>
    <w:rsid w:val="2F6055E3"/>
    <w:rsid w:val="2F7C41F6"/>
    <w:rsid w:val="2F974B8C"/>
    <w:rsid w:val="30112B90"/>
    <w:rsid w:val="302C79CA"/>
    <w:rsid w:val="30670A02"/>
    <w:rsid w:val="30CE255C"/>
    <w:rsid w:val="30E6401D"/>
    <w:rsid w:val="31270645"/>
    <w:rsid w:val="317E4255"/>
    <w:rsid w:val="31B22151"/>
    <w:rsid w:val="31CF4AB1"/>
    <w:rsid w:val="31DE29F1"/>
    <w:rsid w:val="32BD2B5B"/>
    <w:rsid w:val="32D26455"/>
    <w:rsid w:val="32E01416"/>
    <w:rsid w:val="32E27D3C"/>
    <w:rsid w:val="32E91BA2"/>
    <w:rsid w:val="33064502"/>
    <w:rsid w:val="332D5F33"/>
    <w:rsid w:val="3355548A"/>
    <w:rsid w:val="3381627F"/>
    <w:rsid w:val="33983F29"/>
    <w:rsid w:val="33B421B0"/>
    <w:rsid w:val="34605E94"/>
    <w:rsid w:val="354457B6"/>
    <w:rsid w:val="3546508A"/>
    <w:rsid w:val="35E13004"/>
    <w:rsid w:val="368220F2"/>
    <w:rsid w:val="36A04C6E"/>
    <w:rsid w:val="36AA33F6"/>
    <w:rsid w:val="36ED4BFB"/>
    <w:rsid w:val="3701395E"/>
    <w:rsid w:val="38A8605B"/>
    <w:rsid w:val="391F631E"/>
    <w:rsid w:val="398E0DAD"/>
    <w:rsid w:val="39E76710"/>
    <w:rsid w:val="39FA4695"/>
    <w:rsid w:val="3A0379ED"/>
    <w:rsid w:val="3AA06FEA"/>
    <w:rsid w:val="3B6E5279"/>
    <w:rsid w:val="3B7C7A57"/>
    <w:rsid w:val="3C326368"/>
    <w:rsid w:val="3D235CB1"/>
    <w:rsid w:val="3D421874"/>
    <w:rsid w:val="3D806AA1"/>
    <w:rsid w:val="3DBF3C2B"/>
    <w:rsid w:val="3DEC0798"/>
    <w:rsid w:val="3EFE0783"/>
    <w:rsid w:val="3F0D6C18"/>
    <w:rsid w:val="3F375A43"/>
    <w:rsid w:val="3FB672B0"/>
    <w:rsid w:val="40D76F98"/>
    <w:rsid w:val="412F106E"/>
    <w:rsid w:val="41686388"/>
    <w:rsid w:val="41831414"/>
    <w:rsid w:val="4194717D"/>
    <w:rsid w:val="42A241B8"/>
    <w:rsid w:val="42D812EB"/>
    <w:rsid w:val="430C0125"/>
    <w:rsid w:val="43266633"/>
    <w:rsid w:val="443A225E"/>
    <w:rsid w:val="452151CC"/>
    <w:rsid w:val="45B933A3"/>
    <w:rsid w:val="45DD139D"/>
    <w:rsid w:val="45F56036"/>
    <w:rsid w:val="45F823D0"/>
    <w:rsid w:val="46081EE8"/>
    <w:rsid w:val="4677696F"/>
    <w:rsid w:val="469330D2"/>
    <w:rsid w:val="46AF05B5"/>
    <w:rsid w:val="46D85D5E"/>
    <w:rsid w:val="47290367"/>
    <w:rsid w:val="474358CD"/>
    <w:rsid w:val="47637D1D"/>
    <w:rsid w:val="47EF15B1"/>
    <w:rsid w:val="4812529F"/>
    <w:rsid w:val="48382F58"/>
    <w:rsid w:val="484A4A39"/>
    <w:rsid w:val="487877F8"/>
    <w:rsid w:val="487E5F09"/>
    <w:rsid w:val="489857A5"/>
    <w:rsid w:val="48AF2AEE"/>
    <w:rsid w:val="48E1539E"/>
    <w:rsid w:val="490C1CEF"/>
    <w:rsid w:val="4910358D"/>
    <w:rsid w:val="49177011"/>
    <w:rsid w:val="49423962"/>
    <w:rsid w:val="49A62143"/>
    <w:rsid w:val="49E35145"/>
    <w:rsid w:val="49FD6207"/>
    <w:rsid w:val="4B133808"/>
    <w:rsid w:val="4B477651"/>
    <w:rsid w:val="4B550208"/>
    <w:rsid w:val="4BF03B4A"/>
    <w:rsid w:val="4D0A4797"/>
    <w:rsid w:val="4D844549"/>
    <w:rsid w:val="4E141D71"/>
    <w:rsid w:val="4E8862BB"/>
    <w:rsid w:val="4E9764FE"/>
    <w:rsid w:val="4FBE01E7"/>
    <w:rsid w:val="50153434"/>
    <w:rsid w:val="50A43C01"/>
    <w:rsid w:val="517A2225"/>
    <w:rsid w:val="51890380"/>
    <w:rsid w:val="51F6353C"/>
    <w:rsid w:val="528A050C"/>
    <w:rsid w:val="52B94C95"/>
    <w:rsid w:val="52E02222"/>
    <w:rsid w:val="535F6C55"/>
    <w:rsid w:val="536E5A80"/>
    <w:rsid w:val="54422A68"/>
    <w:rsid w:val="561F12B3"/>
    <w:rsid w:val="564F54C8"/>
    <w:rsid w:val="56A417B8"/>
    <w:rsid w:val="578014AE"/>
    <w:rsid w:val="57A71560"/>
    <w:rsid w:val="57BB500C"/>
    <w:rsid w:val="57D367F9"/>
    <w:rsid w:val="57FA1FD8"/>
    <w:rsid w:val="58405511"/>
    <w:rsid w:val="586B5009"/>
    <w:rsid w:val="58D52FBB"/>
    <w:rsid w:val="58DA7713"/>
    <w:rsid w:val="598558D1"/>
    <w:rsid w:val="59E051FD"/>
    <w:rsid w:val="5A074538"/>
    <w:rsid w:val="5A0E3B19"/>
    <w:rsid w:val="5A0E58C7"/>
    <w:rsid w:val="5A2A7696"/>
    <w:rsid w:val="5A5F4374"/>
    <w:rsid w:val="5AAA410D"/>
    <w:rsid w:val="5AED1980"/>
    <w:rsid w:val="5B084A0C"/>
    <w:rsid w:val="5B453014"/>
    <w:rsid w:val="5B6F6839"/>
    <w:rsid w:val="5C0230C4"/>
    <w:rsid w:val="5C3C37CF"/>
    <w:rsid w:val="5CC2508E"/>
    <w:rsid w:val="5CDC56DF"/>
    <w:rsid w:val="5CDC6150"/>
    <w:rsid w:val="5CE95112"/>
    <w:rsid w:val="5D2B2C34"/>
    <w:rsid w:val="5D4B5084"/>
    <w:rsid w:val="5E1611EE"/>
    <w:rsid w:val="5E4A533B"/>
    <w:rsid w:val="5E7D74BF"/>
    <w:rsid w:val="5E914D18"/>
    <w:rsid w:val="5EF01A3F"/>
    <w:rsid w:val="5F2D4A41"/>
    <w:rsid w:val="5F454594"/>
    <w:rsid w:val="5F73318F"/>
    <w:rsid w:val="5F893C41"/>
    <w:rsid w:val="5FAF18FA"/>
    <w:rsid w:val="5FBB029F"/>
    <w:rsid w:val="5FC353A5"/>
    <w:rsid w:val="60065292"/>
    <w:rsid w:val="60082DB8"/>
    <w:rsid w:val="60163727"/>
    <w:rsid w:val="60477D84"/>
    <w:rsid w:val="60873BF8"/>
    <w:rsid w:val="60883EF9"/>
    <w:rsid w:val="60FD6695"/>
    <w:rsid w:val="610712C2"/>
    <w:rsid w:val="615171FB"/>
    <w:rsid w:val="61B50D1E"/>
    <w:rsid w:val="61BF7DEE"/>
    <w:rsid w:val="61D94A0C"/>
    <w:rsid w:val="62791D4B"/>
    <w:rsid w:val="62B66AFB"/>
    <w:rsid w:val="635A7DCF"/>
    <w:rsid w:val="635B76A3"/>
    <w:rsid w:val="63DC07E4"/>
    <w:rsid w:val="63E63410"/>
    <w:rsid w:val="64AD03D2"/>
    <w:rsid w:val="64DB6CED"/>
    <w:rsid w:val="651D2E62"/>
    <w:rsid w:val="656C5B97"/>
    <w:rsid w:val="65757142"/>
    <w:rsid w:val="66AD6051"/>
    <w:rsid w:val="66D47E98"/>
    <w:rsid w:val="674A351B"/>
    <w:rsid w:val="675D3F2E"/>
    <w:rsid w:val="678E6299"/>
    <w:rsid w:val="6808604B"/>
    <w:rsid w:val="68150768"/>
    <w:rsid w:val="686E0BCF"/>
    <w:rsid w:val="68C1444C"/>
    <w:rsid w:val="6945507D"/>
    <w:rsid w:val="694B7883"/>
    <w:rsid w:val="695D4175"/>
    <w:rsid w:val="69B33D95"/>
    <w:rsid w:val="69F04FE9"/>
    <w:rsid w:val="6A06480C"/>
    <w:rsid w:val="6A162576"/>
    <w:rsid w:val="6A1A3E14"/>
    <w:rsid w:val="6A3749C6"/>
    <w:rsid w:val="6A44150A"/>
    <w:rsid w:val="6A753740"/>
    <w:rsid w:val="6AB9187F"/>
    <w:rsid w:val="6AC547AA"/>
    <w:rsid w:val="6B482C03"/>
    <w:rsid w:val="6BA51E03"/>
    <w:rsid w:val="6BE26BB3"/>
    <w:rsid w:val="6C97799E"/>
    <w:rsid w:val="6CD3474E"/>
    <w:rsid w:val="6CDE381E"/>
    <w:rsid w:val="6CED1CB3"/>
    <w:rsid w:val="6CFC5A53"/>
    <w:rsid w:val="6D311114"/>
    <w:rsid w:val="6D400035"/>
    <w:rsid w:val="6D417909"/>
    <w:rsid w:val="6DB97DE8"/>
    <w:rsid w:val="6E58315D"/>
    <w:rsid w:val="6ED70525"/>
    <w:rsid w:val="6F077D6E"/>
    <w:rsid w:val="6F286FD3"/>
    <w:rsid w:val="6F435BBB"/>
    <w:rsid w:val="6F4A6F49"/>
    <w:rsid w:val="6F6124E5"/>
    <w:rsid w:val="70BA00FF"/>
    <w:rsid w:val="71BE59CD"/>
    <w:rsid w:val="71C32FE3"/>
    <w:rsid w:val="71F31B1A"/>
    <w:rsid w:val="721834E3"/>
    <w:rsid w:val="726447C6"/>
    <w:rsid w:val="729A720F"/>
    <w:rsid w:val="73102258"/>
    <w:rsid w:val="732301DD"/>
    <w:rsid w:val="73682094"/>
    <w:rsid w:val="74081181"/>
    <w:rsid w:val="741915E0"/>
    <w:rsid w:val="742D0BE7"/>
    <w:rsid w:val="74480ACE"/>
    <w:rsid w:val="745D771F"/>
    <w:rsid w:val="74B66A46"/>
    <w:rsid w:val="750C1956"/>
    <w:rsid w:val="75EF084A"/>
    <w:rsid w:val="76053BCA"/>
    <w:rsid w:val="761C7166"/>
    <w:rsid w:val="762322A2"/>
    <w:rsid w:val="767F128B"/>
    <w:rsid w:val="76F51E90"/>
    <w:rsid w:val="76FA74A7"/>
    <w:rsid w:val="770B3462"/>
    <w:rsid w:val="77493F8A"/>
    <w:rsid w:val="77B21B30"/>
    <w:rsid w:val="782A5B6A"/>
    <w:rsid w:val="785E3A65"/>
    <w:rsid w:val="78B43685"/>
    <w:rsid w:val="790939D1"/>
    <w:rsid w:val="790A7749"/>
    <w:rsid w:val="795B7FA5"/>
    <w:rsid w:val="799F4335"/>
    <w:rsid w:val="79F0693F"/>
    <w:rsid w:val="79F503F9"/>
    <w:rsid w:val="7A1B3FB5"/>
    <w:rsid w:val="7AB530B6"/>
    <w:rsid w:val="7ABB0CFB"/>
    <w:rsid w:val="7AC5601E"/>
    <w:rsid w:val="7B0501C8"/>
    <w:rsid w:val="7B9652C4"/>
    <w:rsid w:val="7BB10350"/>
    <w:rsid w:val="7C345209"/>
    <w:rsid w:val="7C9F0755"/>
    <w:rsid w:val="7CE02C9B"/>
    <w:rsid w:val="7D0A5F6A"/>
    <w:rsid w:val="7D891584"/>
    <w:rsid w:val="7D9C3085"/>
    <w:rsid w:val="7DE1316F"/>
    <w:rsid w:val="7EA67F14"/>
    <w:rsid w:val="7EC34622"/>
    <w:rsid w:val="7EE7698E"/>
    <w:rsid w:val="7EFE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table of authorities"/>
    <w:basedOn w:val="1"/>
    <w:next w:val="1"/>
    <w:qFormat/>
    <w:uiPriority w:val="0"/>
    <w:pPr>
      <w:ind w:left="420" w:leftChars="200"/>
    </w:pPr>
  </w:style>
  <w:style w:type="paragraph" w:styleId="7">
    <w:name w:val="Body Text"/>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tabs>
        <w:tab w:val="left" w:pos="1290"/>
      </w:tabs>
      <w:spacing w:line="360" w:lineRule="auto"/>
      <w:ind w:firstLine="645"/>
    </w:pPr>
    <w:rPr>
      <w:rFonts w:ascii="仿宋_GB2312" w:eastAsia="仿宋_GB2312"/>
      <w:sz w:val="32"/>
      <w:szCs w:val="20"/>
    </w:rPr>
  </w:style>
  <w:style w:type="paragraph" w:styleId="11">
    <w:name w:val="Body Text First Indent"/>
    <w:basedOn w:val="7"/>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2871</Words>
  <Characters>2913</Characters>
  <Lines>0</Lines>
  <Paragraphs>0</Paragraphs>
  <TotalTime>0</TotalTime>
  <ScaleCrop>false</ScaleCrop>
  <LinksUpToDate>false</LinksUpToDate>
  <CharactersWithSpaces>2983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2025-06-04T02:08:00Z</dcterms:created>
  <dc:creator>Administrator</dc:creator>
  <cp:lastModifiedBy> 艾大宝 </cp:lastModifiedBy>
  <dcterms:modified xsi:type="dcterms:W3CDTF">2025-08-22T08:02:34Z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eyJoZGlkIjoiNDVhMDk2OWRlMmIwNDdkYWE3MmYxZGE2YTE0Y2Q0ZTYiLCJ1c2VySWQiOiI0NTg4OTE3NTAifQ==</vt:lpwstr>
  </property>
  <property fmtid="{D5CDD505-2E9C-101B-9397-08002B2CF9AE}" pid="4" name="ICV">
    <vt:lpwstr>8A5A33F92AC74C7CA8CE2BBFF0A74960_13</vt:lpwstr>
  </property>
</Properties>
</file>