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347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Cs/>
          <w:color w:val="auto"/>
          <w:szCs w:val="44"/>
          <w:highlight w:val="none"/>
        </w:rPr>
      </w:pPr>
    </w:p>
    <w:p w14:paraId="1B6ED8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Cs/>
          <w:color w:val="auto"/>
          <w:szCs w:val="44"/>
          <w:highlight w:val="none"/>
        </w:rPr>
      </w:pPr>
    </w:p>
    <w:p w14:paraId="20904850">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bCs/>
          <w:color w:val="auto"/>
          <w:szCs w:val="44"/>
          <w:highlight w:val="none"/>
        </w:rPr>
      </w:pPr>
    </w:p>
    <w:p w14:paraId="1C15FD3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bCs/>
          <w:color w:val="auto"/>
          <w:szCs w:val="44"/>
          <w:highlight w:val="none"/>
        </w:rPr>
      </w:pPr>
    </w:p>
    <w:p w14:paraId="133292FB">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bCs/>
          <w:color w:val="auto"/>
          <w:szCs w:val="44"/>
          <w:highlight w:val="none"/>
        </w:rPr>
      </w:pPr>
    </w:p>
    <w:p w14:paraId="7B35A467">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highlight w:val="none"/>
        </w:rPr>
      </w:pPr>
    </w:p>
    <w:p w14:paraId="58021A67">
      <w:pPr>
        <w:spacing w:line="600" w:lineRule="exact"/>
        <w:jc w:val="center"/>
        <w:rPr>
          <w:rFonts w:hint="default" w:ascii="Times New Roman" w:hAnsi="Times New Roman" w:eastAsia="仿宋_GB2312" w:cs="Times New Roman"/>
          <w:color w:val="auto"/>
          <w:szCs w:val="30"/>
          <w:highlight w:val="none"/>
          <w:lang w:val="en-US" w:eastAsia="zh-CN"/>
        </w:rPr>
      </w:pPr>
      <w:r>
        <w:rPr>
          <w:rFonts w:hint="default" w:ascii="Times New Roman" w:hAnsi="Times New Roman" w:eastAsia="仿宋_GB2312" w:cs="Times New Roman"/>
          <w:color w:val="auto"/>
          <w:szCs w:val="30"/>
          <w:highlight w:val="none"/>
        </w:rPr>
        <w:t>同政</w:t>
      </w:r>
      <w:r>
        <w:rPr>
          <w:rFonts w:hint="default" w:ascii="Times New Roman" w:hAnsi="Times New Roman" w:eastAsia="仿宋_GB2312" w:cs="Times New Roman"/>
          <w:color w:val="auto"/>
          <w:szCs w:val="30"/>
          <w:highlight w:val="none"/>
          <w:lang w:eastAsia="zh-CN"/>
        </w:rPr>
        <w:t>发</w:t>
      </w:r>
      <w:r>
        <w:rPr>
          <w:rFonts w:hint="default" w:ascii="Times New Roman" w:hAnsi="Times New Roman" w:eastAsia="仿宋_GB2312" w:cs="Times New Roman"/>
          <w:color w:val="auto"/>
          <w:szCs w:val="30"/>
          <w:highlight w:val="none"/>
        </w:rPr>
        <w:t>〔</w:t>
      </w:r>
      <w:r>
        <w:rPr>
          <w:rFonts w:hint="default" w:ascii="Times New Roman" w:hAnsi="Times New Roman" w:eastAsia="仿宋_GB2312" w:cs="Times New Roman"/>
          <w:color w:val="auto"/>
          <w:szCs w:val="30"/>
          <w:highlight w:val="none"/>
          <w:lang w:val="en-US" w:eastAsia="zh-CN"/>
        </w:rPr>
        <w:t>202</w:t>
      </w:r>
      <w:r>
        <w:rPr>
          <w:rFonts w:hint="default" w:ascii="Times New Roman" w:hAnsi="Times New Roman" w:cs="Times New Roman"/>
          <w:color w:val="auto"/>
          <w:szCs w:val="30"/>
          <w:highlight w:val="none"/>
          <w:lang w:val="en-US" w:eastAsia="zh-CN"/>
        </w:rPr>
        <w:t>6</w:t>
      </w:r>
      <w:r>
        <w:rPr>
          <w:rFonts w:hint="default" w:ascii="Times New Roman" w:hAnsi="Times New Roman" w:eastAsia="仿宋_GB2312" w:cs="Times New Roman"/>
          <w:color w:val="auto"/>
          <w:szCs w:val="30"/>
          <w:highlight w:val="none"/>
        </w:rPr>
        <w:t>〕</w:t>
      </w:r>
      <w:r>
        <w:rPr>
          <w:rFonts w:hint="default" w:ascii="Times New Roman" w:hAnsi="Times New Roman" w:cs="Times New Roman"/>
          <w:color w:val="auto"/>
          <w:szCs w:val="30"/>
          <w:highlight w:val="none"/>
          <w:lang w:val="en-US" w:eastAsia="zh-CN"/>
        </w:rPr>
        <w:t>1</w:t>
      </w:r>
      <w:r>
        <w:rPr>
          <w:rFonts w:hint="default" w:ascii="Times New Roman" w:hAnsi="Times New Roman" w:eastAsia="仿宋_GB2312" w:cs="Times New Roman"/>
          <w:color w:val="auto"/>
          <w:szCs w:val="30"/>
          <w:highlight w:val="none"/>
        </w:rPr>
        <w:t>号</w:t>
      </w:r>
      <w:r>
        <w:rPr>
          <w:rFonts w:hint="eastAsia" w:ascii="Times New Roman" w:hAnsi="Times New Roman" w:cs="Times New Roman"/>
          <w:color w:val="auto"/>
          <w:szCs w:val="30"/>
          <w:highlight w:val="none"/>
          <w:lang w:val="en-US" w:eastAsia="zh-CN"/>
        </w:rPr>
        <w:t xml:space="preserve">   </w:t>
      </w:r>
    </w:p>
    <w:p w14:paraId="610F00D1">
      <w:pPr>
        <w:pStyle w:val="25"/>
        <w:rPr>
          <w:rFonts w:hint="default" w:ascii="Times New Roman" w:hAnsi="Times New Roman" w:cs="Times New Roman"/>
          <w:color w:val="auto"/>
          <w:highlight w:val="none"/>
        </w:rPr>
      </w:pPr>
    </w:p>
    <w:p w14:paraId="5AF4472D">
      <w:pPr>
        <w:pStyle w:val="25"/>
        <w:rPr>
          <w:rFonts w:hint="default" w:ascii="Times New Roman" w:hAnsi="Times New Roman" w:cs="Times New Roman"/>
          <w:color w:val="auto"/>
          <w:highlight w:val="none"/>
        </w:rPr>
      </w:pPr>
    </w:p>
    <w:p w14:paraId="26BB1839">
      <w:pPr>
        <w:spacing w:line="600" w:lineRule="exact"/>
        <w:jc w:val="center"/>
        <w:rPr>
          <w:rFonts w:hint="default" w:ascii="Times New Roman" w:hAnsi="Times New Roman" w:eastAsia="方正小标宋简体" w:cs="Times New Roman"/>
          <w:color w:val="auto"/>
          <w:sz w:val="44"/>
          <w:szCs w:val="44"/>
          <w:highlight w:val="none"/>
        </w:rPr>
      </w:pPr>
      <w:bookmarkStart w:id="0" w:name="_GoBack"/>
      <w:r>
        <w:rPr>
          <w:rFonts w:hint="default" w:ascii="Times New Roman" w:hAnsi="Times New Roman" w:eastAsia="方正小标宋简体" w:cs="Times New Roman"/>
          <w:color w:val="auto"/>
          <w:sz w:val="44"/>
          <w:szCs w:val="44"/>
          <w:highlight w:val="none"/>
        </w:rPr>
        <w:t>同江市人民政府</w:t>
      </w:r>
    </w:p>
    <w:p w14:paraId="5FED626E">
      <w:pPr>
        <w:autoSpaceDE w:val="0"/>
        <w:autoSpaceDN w:val="0"/>
        <w:adjustRightInd w:val="0"/>
        <w:spacing w:line="600" w:lineRule="exact"/>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kern w:val="0"/>
          <w:sz w:val="44"/>
          <w:szCs w:val="44"/>
          <w:highlight w:val="none"/>
          <w:lang w:val="zh-CN"/>
        </w:rPr>
        <w:t>关于印发政府工作报告的通知</w:t>
      </w:r>
    </w:p>
    <w:bookmarkEnd w:id="0"/>
    <w:p w14:paraId="2725078E">
      <w:pPr>
        <w:pStyle w:val="25"/>
        <w:rPr>
          <w:rFonts w:hint="default" w:ascii="Times New Roman" w:hAnsi="Times New Roman" w:cs="Times New Roman"/>
          <w:color w:val="auto"/>
          <w:highlight w:val="none"/>
        </w:rPr>
      </w:pPr>
    </w:p>
    <w:p w14:paraId="3B37348B">
      <w:pP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各乡（镇）政府、街道办事处、</w:t>
      </w:r>
      <w:r>
        <w:rPr>
          <w:rFonts w:hint="default" w:ascii="Times New Roman" w:hAnsi="Times New Roman" w:eastAsia="仿宋_GB2312" w:cs="Times New Roman"/>
          <w:color w:val="auto"/>
          <w:sz w:val="32"/>
          <w:szCs w:val="32"/>
          <w:highlight w:val="none"/>
          <w:lang w:val="en-US" w:eastAsia="zh-CN"/>
        </w:rPr>
        <w:t>社区管委会，</w:t>
      </w:r>
      <w:r>
        <w:rPr>
          <w:rFonts w:hint="default" w:ascii="Times New Roman" w:hAnsi="Times New Roman" w:eastAsia="仿宋_GB2312" w:cs="Times New Roman"/>
          <w:color w:val="auto"/>
          <w:sz w:val="32"/>
          <w:szCs w:val="32"/>
          <w:highlight w:val="none"/>
          <w:lang w:eastAsia="zh-CN"/>
        </w:rPr>
        <w:t>市政府直属各单位，驻同江中省直各部门：</w:t>
      </w:r>
    </w:p>
    <w:p w14:paraId="07468376">
      <w:pPr>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现将市长</w:t>
      </w:r>
      <w:r>
        <w:rPr>
          <w:rFonts w:hint="default" w:ascii="Times New Roman" w:hAnsi="Times New Roman" w:eastAsia="仿宋_GB2312" w:cs="Times New Roman"/>
          <w:color w:val="auto"/>
          <w:sz w:val="32"/>
          <w:szCs w:val="32"/>
          <w:highlight w:val="none"/>
          <w:lang w:val="en-US" w:eastAsia="zh-CN"/>
        </w:rPr>
        <w:t>王林</w:t>
      </w:r>
      <w:r>
        <w:rPr>
          <w:rFonts w:hint="default" w:ascii="Times New Roman" w:hAnsi="Times New Roman" w:eastAsia="仿宋_GB2312" w:cs="Times New Roman"/>
          <w:color w:val="auto"/>
          <w:sz w:val="32"/>
          <w:szCs w:val="32"/>
          <w:highlight w:val="none"/>
          <w:lang w:eastAsia="zh-CN"/>
        </w:rPr>
        <w:t>同志</w:t>
      </w: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日在市第</w:t>
      </w:r>
      <w:r>
        <w:rPr>
          <w:rFonts w:hint="default" w:ascii="Times New Roman" w:hAnsi="Times New Roman" w:eastAsia="仿宋_GB2312" w:cs="Times New Roman"/>
          <w:color w:val="auto"/>
          <w:sz w:val="32"/>
          <w:szCs w:val="32"/>
          <w:highlight w:val="none"/>
          <w:lang w:val="en-US" w:eastAsia="zh-CN"/>
        </w:rPr>
        <w:t>十</w:t>
      </w:r>
      <w:r>
        <w:rPr>
          <w:rFonts w:hint="default" w:ascii="Times New Roman" w:hAnsi="Times New Roman" w:eastAsia="仿宋_GB2312" w:cs="Times New Roman"/>
          <w:color w:val="auto"/>
          <w:sz w:val="32"/>
          <w:szCs w:val="32"/>
          <w:highlight w:val="none"/>
          <w:lang w:eastAsia="zh-CN"/>
        </w:rPr>
        <w:t>届人民代表大会第</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eastAsia="zh-CN"/>
        </w:rPr>
        <w:t>次会议上所作的政府工作报告印发给你们，请认真学习研究，并抓好贯彻落实。</w:t>
      </w:r>
    </w:p>
    <w:p w14:paraId="32A4E0DA">
      <w:pPr>
        <w:spacing w:line="600" w:lineRule="exact"/>
        <w:rPr>
          <w:rFonts w:hint="default" w:ascii="Times New Roman" w:hAnsi="Times New Roman" w:eastAsia="仿宋_GB2312" w:cs="Times New Roman"/>
          <w:color w:val="auto"/>
          <w:szCs w:val="32"/>
          <w:highlight w:val="none"/>
        </w:rPr>
      </w:pPr>
    </w:p>
    <w:p w14:paraId="6AE28438">
      <w:pPr>
        <w:spacing w:line="600" w:lineRule="exact"/>
        <w:ind w:firstLine="2880" w:firstLineChars="9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 xml:space="preserve">               同江市人民政府</w:t>
      </w:r>
    </w:p>
    <w:p w14:paraId="3DD5F93D">
      <w:pPr>
        <w:spacing w:line="600" w:lineRule="exact"/>
        <w:ind w:firstLine="2880" w:firstLineChars="900"/>
        <w:rPr>
          <w:rFonts w:hint="default" w:ascii="Times New Roman" w:hAnsi="Times New Roman" w:eastAsia="仿宋_GB2312" w:cs="Times New Roman"/>
          <w:color w:val="auto"/>
          <w:szCs w:val="32"/>
          <w:highlight w:val="none"/>
          <w:lang w:val="en-US"/>
        </w:rPr>
        <w:sectPr>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仿宋_GB2312" w:cs="Times New Roman"/>
          <w:color w:val="auto"/>
          <w:szCs w:val="32"/>
          <w:highlight w:val="none"/>
        </w:rPr>
        <w:t xml:space="preserve">           </w:t>
      </w:r>
      <w:r>
        <w:rPr>
          <w:rFonts w:hint="default" w:ascii="Times New Roman" w:hAnsi="Times New Roman" w:eastAsia="仿宋_GB2312" w:cs="Times New Roman"/>
          <w:color w:val="FFFFFF" w:themeColor="background1"/>
          <w:szCs w:val="32"/>
          <w:highlight w:val="none"/>
          <w14:textFill>
            <w14:solidFill>
              <w14:schemeClr w14:val="bg1"/>
            </w14:solidFill>
          </w14:textFill>
        </w:rPr>
        <w:t xml:space="preserve">  </w:t>
      </w:r>
      <w:r>
        <w:rPr>
          <w:rFonts w:hint="default" w:ascii="Times New Roman" w:hAnsi="Times New Roman" w:eastAsia="仿宋_GB2312" w:cs="Times New Roman"/>
          <w:color w:val="FFFFFF" w:themeColor="background1"/>
          <w:szCs w:val="32"/>
          <w:highlight w:val="none"/>
          <w:lang w:val="en-US" w:eastAsia="zh-CN"/>
          <w14:textFill>
            <w14:solidFill>
              <w14:schemeClr w14:val="bg1"/>
            </w14:solidFill>
          </w14:textFill>
        </w:rPr>
        <w:t>..</w:t>
      </w:r>
      <w:r>
        <w:rPr>
          <w:rFonts w:hint="default" w:ascii="Times New Roman" w:hAnsi="Times New Roman" w:eastAsia="仿宋_GB2312" w:cs="Times New Roman"/>
          <w:color w:val="FFFFFF" w:themeColor="background1"/>
          <w:szCs w:val="32"/>
          <w:highlight w:val="none"/>
          <w14:textFill>
            <w14:solidFill>
              <w14:schemeClr w14:val="bg1"/>
            </w14:solidFill>
          </w14:textFill>
        </w:rPr>
        <w:t xml:space="preserve"> </w:t>
      </w:r>
      <w:r>
        <w:rPr>
          <w:rFonts w:hint="default" w:ascii="Times New Roman" w:hAnsi="Times New Roman" w:eastAsia="仿宋_GB2312" w:cs="Times New Roman"/>
          <w:color w:val="auto"/>
          <w:szCs w:val="32"/>
          <w:highlight w:val="none"/>
          <w:lang w:val="en-US" w:eastAsia="zh-CN"/>
        </w:rPr>
        <w:t>2026</w:t>
      </w:r>
      <w:r>
        <w:rPr>
          <w:rFonts w:hint="default" w:ascii="Times New Roman" w:hAnsi="Times New Roman" w:eastAsia="仿宋_GB2312" w:cs="Times New Roman"/>
          <w:color w:val="auto"/>
          <w:szCs w:val="32"/>
          <w:highlight w:val="none"/>
        </w:rPr>
        <w:t>年1月</w:t>
      </w:r>
      <w:r>
        <w:rPr>
          <w:rFonts w:hint="default" w:ascii="Times New Roman" w:hAnsi="Times New Roman" w:eastAsia="仿宋_GB2312" w:cs="Times New Roman"/>
          <w:color w:val="auto"/>
          <w:szCs w:val="32"/>
          <w:highlight w:val="none"/>
          <w:lang w:val="en-US" w:eastAsia="zh-CN"/>
        </w:rPr>
        <w:t>12日</w:t>
      </w:r>
    </w:p>
    <w:p w14:paraId="5AA13884">
      <w:pPr>
        <w:keepNext w:val="0"/>
        <w:keepLines w:val="0"/>
        <w:pageBreakBefore w:val="0"/>
        <w:widowControl w:val="0"/>
        <w:tabs>
          <w:tab w:val="left" w:pos="2410"/>
          <w:tab w:val="center" w:pos="4479"/>
        </w:tabs>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b w:val="0"/>
          <w:bCs/>
          <w:color w:val="auto"/>
          <w:sz w:val="44"/>
          <w:highlight w:val="none"/>
          <w:u w:val="none" w:color="auto"/>
        </w:rPr>
      </w:pPr>
      <w:r>
        <w:rPr>
          <w:rFonts w:hint="default" w:ascii="Times New Roman" w:hAnsi="Times New Roman" w:eastAsia="方正小标宋简体" w:cs="Times New Roman"/>
          <w:b w:val="0"/>
          <w:bCs/>
          <w:color w:val="auto"/>
          <w:sz w:val="44"/>
          <w:highlight w:val="none"/>
          <w:u w:val="none" w:color="auto"/>
        </w:rPr>
        <w:t>政 府 工 作 报 告</w:t>
      </w:r>
    </w:p>
    <w:p w14:paraId="3A6816F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楷体_GB2312" w:cs="Times New Roman"/>
          <w:b w:val="0"/>
          <w:bCs/>
          <w:color w:val="auto"/>
          <w:spacing w:val="-6"/>
          <w:sz w:val="32"/>
          <w:szCs w:val="32"/>
          <w:highlight w:val="none"/>
          <w:u w:val="none" w:color="auto"/>
        </w:rPr>
      </w:pPr>
    </w:p>
    <w:p w14:paraId="75B4D3B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楷体_GB2312" w:cs="Times New Roman"/>
          <w:b w:val="0"/>
          <w:bCs/>
          <w:color w:val="auto"/>
          <w:spacing w:val="-6"/>
          <w:sz w:val="32"/>
          <w:szCs w:val="32"/>
          <w:highlight w:val="none"/>
          <w:u w:val="none" w:color="auto"/>
        </w:rPr>
      </w:pPr>
      <w:r>
        <w:rPr>
          <w:rFonts w:hint="default" w:ascii="Times New Roman" w:hAnsi="Times New Roman" w:eastAsia="楷体_GB2312" w:cs="Times New Roman"/>
          <w:b w:val="0"/>
          <w:bCs/>
          <w:color w:val="auto"/>
          <w:spacing w:val="-6"/>
          <w:sz w:val="32"/>
          <w:szCs w:val="32"/>
          <w:highlight w:val="none"/>
          <w:u w:val="none" w:color="auto"/>
        </w:rPr>
        <w:t>——202</w:t>
      </w:r>
      <w:r>
        <w:rPr>
          <w:rFonts w:hint="default" w:ascii="Times New Roman" w:hAnsi="Times New Roman" w:eastAsia="楷体_GB2312" w:cs="Times New Roman"/>
          <w:b w:val="0"/>
          <w:bCs/>
          <w:color w:val="auto"/>
          <w:spacing w:val="-6"/>
          <w:sz w:val="32"/>
          <w:szCs w:val="32"/>
          <w:highlight w:val="none"/>
          <w:u w:val="none" w:color="auto"/>
          <w:lang w:val="en-US" w:eastAsia="zh-CN"/>
        </w:rPr>
        <w:t>6</w:t>
      </w:r>
      <w:r>
        <w:rPr>
          <w:rFonts w:hint="default" w:ascii="Times New Roman" w:hAnsi="Times New Roman" w:eastAsia="楷体_GB2312" w:cs="Times New Roman"/>
          <w:b w:val="0"/>
          <w:bCs/>
          <w:color w:val="auto"/>
          <w:spacing w:val="-6"/>
          <w:sz w:val="32"/>
          <w:szCs w:val="32"/>
          <w:highlight w:val="none"/>
          <w:u w:val="none" w:color="auto"/>
        </w:rPr>
        <w:t>年</w:t>
      </w:r>
      <w:r>
        <w:rPr>
          <w:rFonts w:hint="default" w:ascii="Times New Roman" w:hAnsi="Times New Roman" w:eastAsia="楷体_GB2312" w:cs="Times New Roman"/>
          <w:b w:val="0"/>
          <w:bCs/>
          <w:color w:val="auto"/>
          <w:spacing w:val="-6"/>
          <w:sz w:val="32"/>
          <w:szCs w:val="32"/>
          <w:highlight w:val="none"/>
          <w:u w:val="none" w:color="auto"/>
          <w:lang w:val="en-US" w:eastAsia="zh-CN"/>
        </w:rPr>
        <w:t>1</w:t>
      </w:r>
      <w:r>
        <w:rPr>
          <w:rFonts w:hint="default" w:ascii="Times New Roman" w:hAnsi="Times New Roman" w:eastAsia="楷体_GB2312" w:cs="Times New Roman"/>
          <w:b w:val="0"/>
          <w:bCs/>
          <w:color w:val="auto"/>
          <w:spacing w:val="-6"/>
          <w:sz w:val="32"/>
          <w:szCs w:val="32"/>
          <w:highlight w:val="none"/>
          <w:u w:val="none" w:color="auto"/>
        </w:rPr>
        <w:t>月</w:t>
      </w:r>
      <w:r>
        <w:rPr>
          <w:rFonts w:hint="default" w:ascii="Times New Roman" w:hAnsi="Times New Roman" w:eastAsia="楷体_GB2312" w:cs="Times New Roman"/>
          <w:b w:val="0"/>
          <w:bCs/>
          <w:color w:val="auto"/>
          <w:spacing w:val="-6"/>
          <w:sz w:val="32"/>
          <w:szCs w:val="32"/>
          <w:highlight w:val="none"/>
          <w:u w:val="none" w:color="auto"/>
          <w:lang w:val="en-US" w:eastAsia="zh-CN"/>
        </w:rPr>
        <w:t>8</w:t>
      </w:r>
      <w:r>
        <w:rPr>
          <w:rFonts w:hint="default" w:ascii="Times New Roman" w:hAnsi="Times New Roman" w:eastAsia="楷体_GB2312" w:cs="Times New Roman"/>
          <w:b w:val="0"/>
          <w:bCs/>
          <w:color w:val="auto"/>
          <w:spacing w:val="-6"/>
          <w:sz w:val="32"/>
          <w:szCs w:val="32"/>
          <w:highlight w:val="none"/>
          <w:u w:val="none" w:color="auto"/>
        </w:rPr>
        <w:t>日在市第</w:t>
      </w:r>
      <w:r>
        <w:rPr>
          <w:rFonts w:hint="default" w:ascii="Times New Roman" w:hAnsi="Times New Roman" w:eastAsia="楷体_GB2312" w:cs="Times New Roman"/>
          <w:b w:val="0"/>
          <w:bCs/>
          <w:color w:val="auto"/>
          <w:spacing w:val="-6"/>
          <w:sz w:val="32"/>
          <w:szCs w:val="32"/>
          <w:highlight w:val="none"/>
          <w:u w:val="none" w:color="auto"/>
          <w:lang w:val="en-US" w:eastAsia="zh-CN"/>
        </w:rPr>
        <w:t>十</w:t>
      </w:r>
      <w:r>
        <w:rPr>
          <w:rFonts w:hint="default" w:ascii="Times New Roman" w:hAnsi="Times New Roman" w:eastAsia="楷体_GB2312" w:cs="Times New Roman"/>
          <w:b w:val="0"/>
          <w:bCs/>
          <w:color w:val="auto"/>
          <w:spacing w:val="-6"/>
          <w:sz w:val="32"/>
          <w:szCs w:val="32"/>
          <w:highlight w:val="none"/>
          <w:u w:val="none" w:color="auto"/>
        </w:rPr>
        <w:t>届人民代表大会第</w:t>
      </w:r>
      <w:r>
        <w:rPr>
          <w:rFonts w:hint="default" w:ascii="Times New Roman" w:hAnsi="Times New Roman" w:eastAsia="楷体_GB2312" w:cs="Times New Roman"/>
          <w:b w:val="0"/>
          <w:bCs/>
          <w:color w:val="auto"/>
          <w:spacing w:val="-6"/>
          <w:sz w:val="32"/>
          <w:szCs w:val="32"/>
          <w:highlight w:val="none"/>
          <w:u w:val="none" w:color="auto"/>
          <w:lang w:val="en-US" w:eastAsia="zh-CN"/>
        </w:rPr>
        <w:t>六</w:t>
      </w:r>
      <w:r>
        <w:rPr>
          <w:rFonts w:hint="default" w:ascii="Times New Roman" w:hAnsi="Times New Roman" w:eastAsia="楷体_GB2312" w:cs="Times New Roman"/>
          <w:b w:val="0"/>
          <w:bCs/>
          <w:color w:val="auto"/>
          <w:spacing w:val="-6"/>
          <w:sz w:val="32"/>
          <w:szCs w:val="32"/>
          <w:highlight w:val="none"/>
          <w:u w:val="none" w:color="auto"/>
        </w:rPr>
        <w:t>次会议上</w:t>
      </w:r>
    </w:p>
    <w:p w14:paraId="39F0B77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楷体" w:cs="Times New Roman"/>
          <w:b w:val="0"/>
          <w:bCs w:val="0"/>
          <w:color w:val="auto"/>
          <w:sz w:val="32"/>
          <w:szCs w:val="32"/>
          <w:highlight w:val="none"/>
          <w:u w:val="none" w:color="auto"/>
          <w:shd w:val="clear" w:fill="auto"/>
          <w:lang w:val="en-US" w:eastAsia="zh-CN"/>
        </w:rPr>
      </w:pPr>
    </w:p>
    <w:p w14:paraId="6BAEE65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楷体_GB2312" w:cs="Times New Roman"/>
          <w:color w:val="auto"/>
          <w:sz w:val="32"/>
          <w:szCs w:val="32"/>
          <w:highlight w:val="none"/>
          <w:u w:val="none" w:color="auto"/>
          <w:lang w:val="en-US" w:eastAsia="zh-CN"/>
        </w:rPr>
      </w:pPr>
      <w:r>
        <w:rPr>
          <w:rFonts w:hint="default" w:ascii="Times New Roman" w:hAnsi="Times New Roman" w:eastAsia="楷体_GB2312" w:cs="Times New Roman"/>
          <w:color w:val="auto"/>
          <w:sz w:val="32"/>
          <w:szCs w:val="32"/>
          <w:highlight w:val="none"/>
          <w:u w:val="none" w:color="auto"/>
          <w:lang w:val="en-US" w:eastAsia="zh-CN"/>
        </w:rPr>
        <w:t>市长  王林</w:t>
      </w:r>
    </w:p>
    <w:p w14:paraId="33BBC7C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楷体" w:cs="Times New Roman"/>
          <w:b w:val="0"/>
          <w:bCs w:val="0"/>
          <w:color w:val="auto"/>
          <w:sz w:val="32"/>
          <w:szCs w:val="32"/>
          <w:highlight w:val="none"/>
          <w:u w:val="none" w:color="auto"/>
          <w:shd w:val="clear" w:fill="auto"/>
          <w:lang w:val="en-US" w:eastAsia="zh-CN"/>
        </w:rPr>
      </w:pPr>
    </w:p>
    <w:p w14:paraId="53841B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各位代表：</w:t>
      </w:r>
    </w:p>
    <w:p w14:paraId="2267E8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rPr>
        <w:t>现在，我代表市人民政府向大会报告工作，请予审议，并请各位政协委员和列席会议的同志提出意见。</w:t>
      </w:r>
    </w:p>
    <w:p w14:paraId="405D5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color w:val="auto"/>
          <w:sz w:val="32"/>
          <w:szCs w:val="32"/>
          <w:highlight w:val="none"/>
          <w:u w:val="none" w:color="auto"/>
          <w:lang w:val="en-US" w:eastAsia="zh-CN"/>
        </w:rPr>
      </w:pPr>
      <w:r>
        <w:rPr>
          <w:rFonts w:hint="default" w:ascii="Times New Roman" w:hAnsi="Times New Roman" w:eastAsia="黑体" w:cs="Times New Roman"/>
          <w:b w:val="0"/>
          <w:bCs/>
          <w:color w:val="auto"/>
          <w:sz w:val="32"/>
          <w:szCs w:val="32"/>
          <w:highlight w:val="none"/>
          <w:u w:val="none" w:color="auto"/>
          <w:lang w:val="en-US" w:eastAsia="zh-CN"/>
        </w:rPr>
        <w:t>一、2025年和“十四五”时期工作回顾</w:t>
      </w:r>
    </w:p>
    <w:p w14:paraId="565C63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过去一年，我们坚持</w:t>
      </w:r>
      <w:r>
        <w:rPr>
          <w:rFonts w:hint="default" w:ascii="Times New Roman" w:hAnsi="Times New Roman" w:eastAsia="仿宋_GB2312" w:cs="Times New Roman"/>
          <w:color w:val="auto"/>
          <w:sz w:val="32"/>
          <w:szCs w:val="32"/>
          <w:highlight w:val="none"/>
          <w:u w:val="none" w:color="auto"/>
        </w:rPr>
        <w:t>以习近平新时代中国特色社会主义思想为指导，</w:t>
      </w:r>
      <w:r>
        <w:rPr>
          <w:rFonts w:hint="default" w:ascii="Times New Roman" w:hAnsi="Times New Roman" w:eastAsia="仿宋_GB2312" w:cs="Times New Roman"/>
          <w:color w:val="auto"/>
          <w:sz w:val="32"/>
          <w:szCs w:val="32"/>
          <w:highlight w:val="none"/>
          <w:u w:val="none" w:color="auto"/>
          <w:lang w:val="en-US" w:eastAsia="zh-CN"/>
        </w:rPr>
        <w:t>全面贯彻落实党的二十大和二十届历次全会精神</w:t>
      </w:r>
      <w:r>
        <w:rPr>
          <w:rFonts w:hint="default" w:ascii="Times New Roman" w:hAnsi="Times New Roman" w:eastAsia="仿宋_GB2312" w:cs="Times New Roman"/>
          <w:b w:val="0"/>
          <w:bCs/>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rPr>
        <w:t>在省委省政府、佳木斯市委市政府和市委</w:t>
      </w:r>
      <w:r>
        <w:rPr>
          <w:rFonts w:hint="default" w:ascii="Times New Roman" w:hAnsi="Times New Roman" w:eastAsia="仿宋_GB2312" w:cs="Times New Roman"/>
          <w:color w:val="auto"/>
          <w:sz w:val="32"/>
          <w:szCs w:val="32"/>
          <w:highlight w:val="none"/>
          <w:u w:val="none" w:color="auto"/>
          <w:lang w:eastAsia="zh-CN"/>
        </w:rPr>
        <w:t>的</w:t>
      </w:r>
      <w:r>
        <w:rPr>
          <w:rFonts w:hint="default" w:ascii="Times New Roman" w:hAnsi="Times New Roman" w:eastAsia="仿宋_GB2312" w:cs="Times New Roman"/>
          <w:color w:val="auto"/>
          <w:sz w:val="32"/>
          <w:szCs w:val="32"/>
          <w:highlight w:val="none"/>
          <w:u w:val="none" w:color="auto"/>
          <w:lang w:val="en-US" w:eastAsia="zh-CN"/>
        </w:rPr>
        <w:t>坚强</w:t>
      </w:r>
      <w:r>
        <w:rPr>
          <w:rFonts w:hint="default" w:ascii="Times New Roman" w:hAnsi="Times New Roman" w:eastAsia="仿宋_GB2312" w:cs="Times New Roman"/>
          <w:color w:val="auto"/>
          <w:sz w:val="32"/>
          <w:szCs w:val="32"/>
          <w:highlight w:val="none"/>
          <w:u w:val="none" w:color="auto"/>
        </w:rPr>
        <w:t>领导下，</w:t>
      </w:r>
      <w:r>
        <w:rPr>
          <w:rFonts w:hint="default" w:ascii="Times New Roman" w:hAnsi="Times New Roman" w:eastAsia="仿宋_GB2312" w:cs="Times New Roman"/>
          <w:color w:val="auto"/>
          <w:sz w:val="32"/>
          <w:szCs w:val="32"/>
          <w:highlight w:val="none"/>
          <w:u w:val="none" w:color="auto"/>
          <w:lang w:val="en-US" w:eastAsia="zh-CN"/>
        </w:rPr>
        <w:t>坚持“四县”同创、“三县”争先，扎实推进“三个突破年”行动，县域经济和各项事业发展取得显著成效。预计全年地区生产总值增长6.4%；规上工业增加值增长8%；固定资产投资增长15%；一般公共预算收入增长7%；社会消费品零售总额增长6%；城乡居民人均可支配收入与经济增长同步。</w:t>
      </w:r>
    </w:p>
    <w:p w14:paraId="72DC6E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rtl w:val="0"/>
          <w:lang w:val="en-US" w:eastAsia="zh-CN"/>
        </w:rPr>
        <w:t>(一)开放势能愈加强劲。</w:t>
      </w:r>
      <w:r>
        <w:rPr>
          <w:rFonts w:hint="default" w:ascii="Times New Roman" w:hAnsi="Times New Roman" w:eastAsia="仿宋_GB2312" w:cs="Times New Roman"/>
          <w:b/>
          <w:bCs/>
          <w:color w:val="auto"/>
          <w:sz w:val="32"/>
          <w:szCs w:val="32"/>
          <w:highlight w:val="none"/>
          <w:u w:val="none" w:color="auto"/>
          <w:rtl w:val="0"/>
          <w:lang w:val="en-US" w:eastAsia="zh-CN"/>
        </w:rPr>
        <w:t>口岸功能更趋完善。</w:t>
      </w:r>
      <w:r>
        <w:rPr>
          <w:rFonts w:hint="default" w:ascii="Times New Roman" w:hAnsi="Times New Roman" w:eastAsia="仿宋_GB2312" w:cs="Times New Roman"/>
          <w:color w:val="auto"/>
          <w:sz w:val="32"/>
          <w:szCs w:val="32"/>
          <w:highlight w:val="none"/>
          <w:u w:val="none" w:color="auto"/>
          <w:rtl w:val="0"/>
          <w:lang w:val="en-US" w:eastAsia="zh-CN"/>
        </w:rPr>
        <w:t>进出境查验能力提升、集散物流等4个重点项目全面开工，全国首台矿产品智能化采制样设备投入使用，LPG能源码头通航评价获交通部批复。公用型</w:t>
      </w:r>
      <w:r>
        <w:rPr>
          <w:rFonts w:hint="default" w:ascii="Times New Roman" w:hAnsi="Times New Roman" w:eastAsia="仿宋_GB2312" w:cs="Times New Roman"/>
          <w:b w:val="0"/>
          <w:bCs w:val="0"/>
          <w:color w:val="auto"/>
          <w:sz w:val="32"/>
          <w:szCs w:val="32"/>
          <w:highlight w:val="none"/>
          <w:u w:val="none" w:color="auto"/>
          <w:lang w:val="en-US" w:eastAsia="zh-CN"/>
        </w:rPr>
        <w:t>保税仓库增至2座，</w:t>
      </w:r>
      <w:r>
        <w:rPr>
          <w:rFonts w:hint="default" w:ascii="Times New Roman" w:hAnsi="Times New Roman" w:eastAsia="仿宋_GB2312" w:cs="Times New Roman"/>
          <w:color w:val="auto"/>
          <w:sz w:val="32"/>
          <w:szCs w:val="32"/>
          <w:highlight w:val="none"/>
          <w:u w:val="none" w:color="auto"/>
          <w:rtl w:val="0"/>
          <w:lang w:val="en-US" w:eastAsia="zh-CN"/>
        </w:rPr>
        <w:t>中药材、豆粕、铜精粉等10余种商品实现进口“零”突破。</w:t>
      </w:r>
      <w:r>
        <w:rPr>
          <w:rFonts w:hint="default" w:ascii="Times New Roman" w:hAnsi="Times New Roman" w:eastAsia="仿宋_GB2312" w:cs="Times New Roman"/>
          <w:b/>
          <w:bCs/>
          <w:color w:val="auto"/>
          <w:sz w:val="32"/>
          <w:szCs w:val="32"/>
          <w:highlight w:val="none"/>
          <w:u w:val="none" w:color="auto"/>
          <w:rtl w:val="0"/>
          <w:lang w:val="en-US" w:eastAsia="zh-CN"/>
        </w:rPr>
        <w:t>后方通道加速贯通。</w:t>
      </w:r>
      <w:r>
        <w:rPr>
          <w:rFonts w:hint="default" w:ascii="Times New Roman" w:hAnsi="Times New Roman" w:eastAsia="仿宋_GB2312" w:cs="Times New Roman"/>
          <w:b w:val="0"/>
          <w:bCs w:val="0"/>
          <w:color w:val="auto"/>
          <w:sz w:val="32"/>
          <w:szCs w:val="32"/>
          <w:highlight w:val="none"/>
          <w:u w:val="none" w:color="auto"/>
          <w:rtl w:val="0"/>
          <w:lang w:val="en-US" w:eastAsia="zh-CN"/>
        </w:rPr>
        <w:t>佳同铁路扩能改造完成70%，7座立交桥完成桩基建设，哈鱼岛特大公路桥成功合龙，同江松花江公路大桥开工建设，同江正阔步迈入“大桥时代”。历时九年的通用机场项目正式签订军地协议。</w:t>
      </w:r>
      <w:r>
        <w:rPr>
          <w:rFonts w:hint="default" w:ascii="Times New Roman" w:hAnsi="Times New Roman" w:eastAsia="仿宋_GB2312" w:cs="Times New Roman"/>
          <w:b/>
          <w:bCs/>
          <w:color w:val="auto"/>
          <w:sz w:val="32"/>
          <w:szCs w:val="32"/>
          <w:highlight w:val="none"/>
          <w:u w:val="none" w:color="auto"/>
          <w:rtl w:val="0"/>
          <w:lang w:val="en-US" w:eastAsia="zh-CN"/>
        </w:rPr>
        <w:t>平台效能深度释放。</w:t>
      </w:r>
      <w:r>
        <w:rPr>
          <w:rFonts w:hint="default" w:ascii="Times New Roman" w:hAnsi="Times New Roman" w:eastAsia="仿宋_GB2312" w:cs="Times New Roman"/>
          <w:b w:val="0"/>
          <w:bCs w:val="0"/>
          <w:color w:val="auto"/>
          <w:sz w:val="32"/>
          <w:szCs w:val="32"/>
          <w:highlight w:val="none"/>
          <w:u w:val="none" w:color="auto"/>
          <w:rtl w:val="0"/>
          <w:lang w:val="en-US" w:eastAsia="zh-CN"/>
        </w:rPr>
        <w:t>跨境电商综试区平台作用日益凸显，带动新增跨境电商企业23家，实现“9610”首单出口，跨境电商交易额预计突破35亿元。</w:t>
      </w:r>
      <w:r>
        <w:rPr>
          <w:rFonts w:hint="default" w:ascii="Times New Roman" w:hAnsi="Times New Roman" w:eastAsia="仿宋_GB2312" w:cs="Times New Roman"/>
          <w:b w:val="0"/>
          <w:bCs w:val="0"/>
          <w:color w:val="auto"/>
          <w:sz w:val="32"/>
          <w:szCs w:val="32"/>
          <w:highlight w:val="none"/>
          <w:u w:val="none" w:color="auto"/>
          <w:lang w:val="en-US" w:eastAsia="zh-CN"/>
        </w:rPr>
        <w:t>创新引入“边互通”平台，联合中国质检院共建同江“俄品真”溯源体系，“电商+大贸+互贸”模式加速成型，互贸交易额实现1030万元</w:t>
      </w:r>
      <w:r>
        <w:rPr>
          <w:rFonts w:hint="default" w:ascii="Times New Roman" w:hAnsi="Times New Roman" w:eastAsia="仿宋_GB2312" w:cs="Times New Roman"/>
          <w:b w:val="0"/>
          <w:bCs w:val="0"/>
          <w:color w:val="auto"/>
          <w:sz w:val="32"/>
          <w:szCs w:val="32"/>
          <w:highlight w:val="none"/>
          <w:u w:val="none" w:color="auto"/>
          <w:rtl w:val="0"/>
          <w:lang w:val="en-US" w:eastAsia="zh-CN"/>
        </w:rPr>
        <w:t>，“俄品同江”品牌影响力逐步增强</w:t>
      </w:r>
      <w:r>
        <w:rPr>
          <w:rFonts w:hint="default" w:ascii="Times New Roman" w:hAnsi="Times New Roman" w:eastAsia="仿宋_GB2312" w:cs="Times New Roman"/>
          <w:b w:val="0"/>
          <w:bCs w:val="0"/>
          <w:color w:val="auto"/>
          <w:sz w:val="32"/>
          <w:szCs w:val="32"/>
          <w:highlight w:val="none"/>
          <w:u w:val="none" w:color="auto"/>
          <w:lang w:val="en-US" w:eastAsia="zh-CN"/>
        </w:rPr>
        <w:t>。</w:t>
      </w:r>
      <w:r>
        <w:rPr>
          <w:rFonts w:hint="default" w:ascii="Times New Roman" w:hAnsi="Times New Roman" w:eastAsia="仿宋_GB2312" w:cs="Times New Roman"/>
          <w:b/>
          <w:bCs/>
          <w:color w:val="auto"/>
          <w:sz w:val="32"/>
          <w:szCs w:val="32"/>
          <w:highlight w:val="none"/>
          <w:u w:val="none" w:color="auto"/>
          <w:lang w:val="en-US" w:eastAsia="zh-CN"/>
        </w:rPr>
        <w:t>外贸服务全面升级。</w:t>
      </w:r>
      <w:r>
        <w:rPr>
          <w:rFonts w:hint="default" w:ascii="Times New Roman" w:hAnsi="Times New Roman" w:eastAsia="仿宋_GB2312" w:cs="Times New Roman"/>
          <w:b w:val="0"/>
          <w:bCs w:val="0"/>
          <w:color w:val="auto"/>
          <w:sz w:val="32"/>
          <w:szCs w:val="32"/>
          <w:highlight w:val="none"/>
          <w:u w:val="none" w:color="auto"/>
          <w:lang w:val="en-US" w:eastAsia="zh-CN"/>
        </w:rPr>
        <w:t>结束煤炭外送检测历史，建成</w:t>
      </w:r>
      <w:r>
        <w:rPr>
          <w:rFonts w:hint="default" w:ascii="Times New Roman" w:hAnsi="Times New Roman" w:eastAsia="仿宋_GB2312" w:cs="Times New Roman"/>
          <w:b w:val="0"/>
          <w:bCs w:val="0"/>
          <w:color w:val="auto"/>
          <w:sz w:val="32"/>
          <w:szCs w:val="32"/>
          <w:highlight w:val="none"/>
          <w:u w:val="none" w:color="auto"/>
          <w:rtl w:val="0"/>
          <w:lang w:val="en-US" w:eastAsia="zh-CN"/>
        </w:rPr>
        <w:t>全省首个铜精粉全项检测实验室，实施“口岸快查+实验室速检”机制，货物作业和通关效率分别提升89%、70%。</w:t>
      </w:r>
      <w:r>
        <w:rPr>
          <w:rFonts w:hint="default" w:ascii="Times New Roman" w:hAnsi="Times New Roman" w:eastAsia="仿宋_GB2312" w:cs="Times New Roman"/>
          <w:b w:val="0"/>
          <w:bCs w:val="0"/>
          <w:color w:val="auto"/>
          <w:sz w:val="32"/>
          <w:szCs w:val="32"/>
          <w:highlight w:val="none"/>
          <w:u w:val="none" w:color="auto"/>
          <w:lang w:val="en-US" w:eastAsia="zh-CN"/>
        </w:rPr>
        <w:t>同江农商银行成功获批国际结算资质，全市外汇结算银行达到7家。口岸年度货运量突破630万吨，进出口贸易额预计达到65亿元，</w:t>
      </w:r>
      <w:r>
        <w:rPr>
          <w:rFonts w:hint="default" w:ascii="Times New Roman" w:hAnsi="Times New Roman" w:eastAsia="仿宋_GB2312" w:cs="Times New Roman"/>
          <w:b w:val="0"/>
          <w:bCs w:val="0"/>
          <w:color w:val="auto"/>
          <w:sz w:val="32"/>
          <w:szCs w:val="32"/>
          <w:highlight w:val="none"/>
          <w:u w:val="none" w:color="auto"/>
          <w:rtl w:val="0"/>
          <w:lang w:val="en-US" w:eastAsia="zh-CN"/>
        </w:rPr>
        <w:t>分别增长16.3%、11.1%。</w:t>
      </w:r>
    </w:p>
    <w:p w14:paraId="48D3F3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pPr>
      <w:r>
        <w:rPr>
          <w:rFonts w:hint="default" w:ascii="Times New Roman" w:hAnsi="Times New Roman" w:eastAsia="楷体_GB2312" w:cs="Times New Roman"/>
          <w:b/>
          <w:bCs/>
          <w:color w:val="auto"/>
          <w:sz w:val="32"/>
          <w:szCs w:val="32"/>
          <w:highlight w:val="none"/>
          <w:u w:val="none" w:color="auto"/>
          <w:rtl w:val="0"/>
          <w:lang w:val="en-US" w:eastAsia="zh-CN"/>
        </w:rPr>
        <w:t>(二)发展动能加速集聚。</w:t>
      </w: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招引势能持续增强，</w:t>
      </w:r>
      <w:r>
        <w:rPr>
          <w:rFonts w:hint="default" w:ascii="Times New Roman" w:hAnsi="Times New Roman" w:eastAsia="仿宋_GB2312" w:cs="Times New Roman"/>
          <w:b w:val="0"/>
          <w:bCs w:val="0"/>
          <w:color w:val="auto"/>
          <w:sz w:val="32"/>
          <w:szCs w:val="32"/>
          <w:highlight w:val="none"/>
          <w:u w:val="none" w:color="auto"/>
          <w:lang w:val="en-US" w:eastAsia="zh-CN"/>
        </w:rPr>
        <w:t>聚焦“5+N”产业体系靶向出击，成功</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举办</w:t>
      </w:r>
      <w:r>
        <w:rPr>
          <w:rFonts w:hint="default" w:ascii="Times New Roman" w:hAnsi="Times New Roman" w:eastAsia="仿宋_GB2312" w:cs="Times New Roman"/>
          <w:b w:val="0"/>
          <w:bCs w:val="0"/>
          <w:color w:val="auto"/>
          <w:sz w:val="32"/>
          <w:szCs w:val="32"/>
          <w:highlight w:val="none"/>
          <w:u w:val="none" w:color="auto"/>
          <w:rtl w:val="0"/>
          <w:lang w:val="en-US" w:eastAsia="zh-CN"/>
        </w:rPr>
        <w:t>中俄经贸合作洽谈会</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等专题活动7次，落实“三三制”工作法，外出招商63批次，对接物产中大、山西建投等重点企业23家</w:t>
      </w:r>
      <w:r>
        <w:rPr>
          <w:rFonts w:hint="default" w:ascii="Times New Roman" w:hAnsi="Times New Roman" w:eastAsia="仿宋_GB2312" w:cs="Times New Roman"/>
          <w:b w:val="0"/>
          <w:bCs w:val="0"/>
          <w:color w:val="auto"/>
          <w:kern w:val="21"/>
          <w:sz w:val="32"/>
          <w:szCs w:val="32"/>
          <w:highlight w:val="none"/>
          <w:u w:val="none" w:color="auto"/>
          <w:lang w:val="en-US" w:eastAsia="zh-CN" w:bidi="ar-SA"/>
        </w:rPr>
        <w:t>，签约项目26个，鳇小鱼食品加工、驰凯物流园等项目扎根同江，实际利用内资预计完成75.6亿元。</w:t>
      </w: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项目建设成果丰硕，</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深入开展“项目建设年”活动，上争资金7.89亿元、项目26个，粮食产能提升等44个重大基础设施项目加速推进，中储粮同江直属库(二期)等30个产业项目加速建设，完成投资29亿元、增长15%。</w:t>
      </w: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工业经济企稳攀升，</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食品加工产业园一期建成投用，豆粕油料加工、俄麦挂面项目正式运营，赫哲远鹏比罗比詹加工厂试运行。2家工业企业成功升规，培育“专精特新”企业4家、创新型中小企业7家、科技型中小企业15家，创历年新高。</w:t>
      </w:r>
      <w:r>
        <w:rPr>
          <w:rFonts w:hint="default" w:ascii="Times New Roman" w:hAnsi="Times New Roman" w:eastAsia="仿宋_GB2312" w:cs="Times New Roman"/>
          <w:b/>
          <w:bCs/>
          <w:color w:val="auto"/>
          <w:sz w:val="32"/>
          <w:szCs w:val="32"/>
          <w:highlight w:val="none"/>
          <w:u w:val="none" w:color="auto"/>
          <w:lang w:val="en-US" w:eastAsia="zh-CN"/>
        </w:rPr>
        <w:t>营商环境优化升级，</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减税降费6.28亿元，助企融资7.34亿元，</w:t>
      </w:r>
      <w:r>
        <w:rPr>
          <w:rFonts w:hint="default" w:ascii="Times New Roman" w:hAnsi="Times New Roman" w:eastAsia="仿宋_GB2312" w:cs="Times New Roman"/>
          <w:b w:val="0"/>
          <w:bCs w:val="0"/>
          <w:color w:val="auto"/>
          <w:spacing w:val="0"/>
          <w:kern w:val="2"/>
          <w:sz w:val="32"/>
          <w:szCs w:val="32"/>
          <w:highlight w:val="none"/>
          <w:u w:val="none" w:color="auto"/>
          <w:lang w:val="en-US" w:eastAsia="zh-CN" w:bidi="ar-SA"/>
        </w:rPr>
        <w:t>化解拖欠企业账款6.1亿元。</w:t>
      </w:r>
      <w:r>
        <w:rPr>
          <w:rFonts w:hint="default" w:ascii="Times New Roman" w:hAnsi="Times New Roman" w:eastAsia="仿宋_GB2312" w:cs="Times New Roman"/>
          <w:b w:val="0"/>
          <w:bCs w:val="0"/>
          <w:color w:val="auto"/>
          <w:sz w:val="32"/>
          <w:szCs w:val="32"/>
          <w:highlight w:val="none"/>
          <w:u w:val="none" w:color="auto"/>
          <w:rtl w:val="0"/>
          <w:lang w:val="en-US" w:eastAsia="zh-CN"/>
        </w:rPr>
        <w:t>创新推出</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AI智能服务窗口、“同易办”平台，外商企业实现极速办照</w:t>
      </w:r>
      <w:r>
        <w:rPr>
          <w:rFonts w:hint="default" w:ascii="Times New Roman" w:hAnsi="Times New Roman" w:eastAsia="仿宋_GB2312" w:cs="Times New Roman"/>
          <w:b w:val="0"/>
          <w:bCs w:val="0"/>
          <w:color w:val="auto"/>
          <w:sz w:val="32"/>
          <w:szCs w:val="32"/>
          <w:highlight w:val="none"/>
          <w:u w:val="none" w:color="auto"/>
          <w:rtl w:val="0"/>
          <w:lang w:val="en-US" w:eastAsia="zh-CN"/>
        </w:rPr>
        <w:t>，在全国首发大型跨境基建工程不动产权证书</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w:t>
      </w:r>
      <w:r>
        <w:rPr>
          <w:rFonts w:hint="default" w:ascii="Times New Roman" w:hAnsi="Times New Roman" w:eastAsia="仿宋_GB2312" w:cs="Times New Roman"/>
          <w:b w:val="0"/>
          <w:bCs w:val="0"/>
          <w:color w:val="auto"/>
          <w:sz w:val="32"/>
          <w:szCs w:val="32"/>
          <w:highlight w:val="none"/>
          <w:u w:val="none" w:color="auto"/>
          <w:rtl w:val="0"/>
          <w:lang w:val="en-US" w:eastAsia="zh-CN"/>
        </w:rPr>
        <w:t>成立对俄产业协会、对外联络部，吸引67家外贸企业、6家外商企业落户。国际化营商环境建设获中国驻哈巴总领馆专函致谢。</w:t>
      </w:r>
    </w:p>
    <w:p w14:paraId="6FFCB1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color="auto"/>
          <w:rtl w:val="0"/>
          <w:lang w:val="en-US" w:eastAsia="zh-CN"/>
        </w:rPr>
      </w:pPr>
      <w:r>
        <w:rPr>
          <w:rFonts w:hint="default" w:ascii="Times New Roman" w:hAnsi="Times New Roman" w:eastAsia="楷体_GB2312" w:cs="Times New Roman"/>
          <w:b/>
          <w:bCs/>
          <w:color w:val="auto"/>
          <w:sz w:val="32"/>
          <w:szCs w:val="32"/>
          <w:highlight w:val="none"/>
          <w:u w:val="none" w:color="auto"/>
          <w:rtl w:val="0"/>
          <w:lang w:val="en-US" w:eastAsia="zh-CN"/>
        </w:rPr>
        <w:t>(三)乡村振兴蹄疾步稳。</w:t>
      </w:r>
      <w:r>
        <w:rPr>
          <w:rFonts w:hint="default" w:ascii="Times New Roman" w:hAnsi="Times New Roman" w:eastAsia="仿宋_GB2312" w:cs="Times New Roman"/>
          <w:b/>
          <w:bCs/>
          <w:color w:val="auto"/>
          <w:sz w:val="32"/>
          <w:szCs w:val="32"/>
          <w:highlight w:val="none"/>
          <w:u w:val="none" w:color="auto"/>
          <w:lang w:val="en-US" w:eastAsia="zh-CN"/>
        </w:rPr>
        <w:t>粮食产能稳步提升，</w:t>
      </w:r>
      <w:r>
        <w:rPr>
          <w:rFonts w:hint="default" w:ascii="Times New Roman" w:hAnsi="Times New Roman" w:eastAsia="仿宋_GB2312" w:cs="Times New Roman"/>
          <w:color w:val="auto"/>
          <w:sz w:val="32"/>
          <w:szCs w:val="32"/>
          <w:highlight w:val="none"/>
          <w:u w:val="none" w:color="auto"/>
          <w:lang w:val="en-US" w:eastAsia="zh-CN"/>
        </w:rPr>
        <w:t>26万亩高标准农田全速建设，4.57万亩障碍土消除计划破题实施，小流域治理、莲花河治理等水利工程成效显著，水肥一体化、大垄密植技术深度推广，土地托管与垦地合作面积首次突破百万亩规模，粮食产量达到53.78亿斤。</w:t>
      </w:r>
      <w:r>
        <w:rPr>
          <w:rFonts w:hint="default" w:ascii="Times New Roman" w:hAnsi="Times New Roman" w:eastAsia="仿宋_GB2312" w:cs="Times New Roman"/>
          <w:b/>
          <w:bCs/>
          <w:color w:val="auto"/>
          <w:sz w:val="32"/>
          <w:szCs w:val="32"/>
          <w:highlight w:val="none"/>
          <w:u w:val="none" w:color="auto"/>
          <w:lang w:val="en-US" w:eastAsia="zh-CN"/>
        </w:rPr>
        <w:t>“四个农业”提质增效，</w:t>
      </w:r>
      <w:r>
        <w:rPr>
          <w:rFonts w:hint="default" w:ascii="Times New Roman" w:hAnsi="Times New Roman" w:eastAsia="仿宋_GB2312" w:cs="Times New Roman"/>
          <w:color w:val="auto"/>
          <w:sz w:val="32"/>
          <w:szCs w:val="32"/>
          <w:highlight w:val="none"/>
          <w:u w:val="none" w:color="auto"/>
          <w:lang w:val="en-US" w:eastAsia="zh-CN"/>
        </w:rPr>
        <w:t>“我在同江有亩田”等定制农业品牌效应凸显，独头蒜科技小院正式启动，绿色食品、黑土优品等标识达38个，“玉兰香”糖醋蒜、鳇鱼制品等“同江风味”走俏全国。同江大米入选省地理标志十大品牌。我市荣获“全国秸秆综合利用重点县”“全国绿色高产高效行动示范县”。</w:t>
      </w:r>
      <w:r>
        <w:rPr>
          <w:rFonts w:hint="default" w:ascii="Times New Roman" w:hAnsi="Times New Roman" w:eastAsia="仿宋_GB2312" w:cs="Times New Roman"/>
          <w:b/>
          <w:bCs/>
          <w:color w:val="auto"/>
          <w:sz w:val="32"/>
          <w:szCs w:val="32"/>
          <w:highlight w:val="none"/>
          <w:u w:val="none" w:color="auto"/>
          <w:lang w:val="en-US" w:eastAsia="zh-CN"/>
        </w:rPr>
        <w:t>现代农业多元发展，</w:t>
      </w:r>
      <w:r>
        <w:rPr>
          <w:rFonts w:hint="default" w:ascii="Times New Roman" w:hAnsi="Times New Roman" w:eastAsia="仿宋_GB2312" w:cs="Times New Roman"/>
          <w:color w:val="auto"/>
          <w:sz w:val="32"/>
          <w:szCs w:val="32"/>
          <w:highlight w:val="none"/>
          <w:u w:val="none" w:color="auto"/>
          <w:lang w:val="en-US" w:eastAsia="zh-CN"/>
        </w:rPr>
        <w:t>生态肉牛园区(二期)建成投用，黄金勾、莲花蟹、赫辽黑猪等特色产业“百花齐放”。盘活闲置房屋开办农家乐、民宿25家，打造</w:t>
      </w:r>
      <w:r>
        <w:rPr>
          <w:rFonts w:hint="default" w:ascii="Times New Roman" w:hAnsi="Times New Roman" w:eastAsia="仿宋_GB2312" w:cs="Times New Roman"/>
          <w:color w:val="auto"/>
          <w:sz w:val="32"/>
          <w:szCs w:val="32"/>
          <w:highlight w:val="none"/>
          <w:u w:val="none" w:color="auto"/>
          <w:rtl w:val="0"/>
          <w:lang w:val="en-US" w:eastAsia="zh-CN"/>
        </w:rPr>
        <w:t>采摘基地10处</w:t>
      </w:r>
      <w:r>
        <w:rPr>
          <w:rFonts w:hint="default"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rtl w:val="0"/>
          <w:lang w:val="en-US" w:eastAsia="zh-CN"/>
        </w:rPr>
        <w:t>休闲农业蓬勃发展。</w:t>
      </w:r>
      <w:r>
        <w:rPr>
          <w:rFonts w:hint="default" w:ascii="Times New Roman" w:hAnsi="Times New Roman" w:eastAsia="仿宋_GB2312" w:cs="Times New Roman"/>
          <w:color w:val="auto"/>
          <w:sz w:val="32"/>
          <w:szCs w:val="32"/>
          <w:highlight w:val="none"/>
          <w:u w:val="none" w:color="auto"/>
          <w:lang w:val="en-US" w:eastAsia="zh-CN"/>
        </w:rPr>
        <w:t>全市规范化合作社和家庭农场达663家。农产品加工企业增至61户，加工转化率跃升至75%。</w:t>
      </w:r>
      <w:r>
        <w:rPr>
          <w:rFonts w:hint="default" w:ascii="Times New Roman" w:hAnsi="Times New Roman" w:eastAsia="仿宋_GB2312" w:cs="Times New Roman"/>
          <w:b/>
          <w:bCs/>
          <w:color w:val="auto"/>
          <w:kern w:val="21"/>
          <w:sz w:val="32"/>
          <w:szCs w:val="32"/>
          <w:highlight w:val="none"/>
          <w:u w:val="none" w:color="auto"/>
          <w:rtl w:val="0"/>
          <w:lang w:val="en-US" w:eastAsia="zh-CN" w:bidi="ar-SA"/>
        </w:rPr>
        <w:t>脱贫攻坚成果持续巩固，</w:t>
      </w:r>
      <w:r>
        <w:rPr>
          <w:rFonts w:hint="default" w:ascii="Times New Roman" w:hAnsi="Times New Roman" w:eastAsia="仿宋_GB2312" w:cs="Times New Roman"/>
          <w:color w:val="auto"/>
          <w:sz w:val="32"/>
          <w:szCs w:val="32"/>
          <w:highlight w:val="none"/>
          <w:u w:val="none" w:color="auto"/>
          <w:rtl w:val="0"/>
          <w:lang w:val="en-US" w:eastAsia="zh-CN"/>
        </w:rPr>
        <w:t>实施赫乡冽泉饮品厂等项目27个，开发乡村公益性岗位541个，脱贫人口人均纯收入增长超4%，实现返贫致贫“零发生”。学习运用“千万工程”经验，</w:t>
      </w:r>
      <w:r>
        <w:rPr>
          <w:rFonts w:hint="default" w:ascii="Times New Roman" w:hAnsi="Times New Roman" w:eastAsia="仿宋_GB2312" w:cs="Times New Roman"/>
          <w:color w:val="auto"/>
          <w:sz w:val="32"/>
          <w:szCs w:val="32"/>
          <w:highlight w:val="none"/>
          <w:u w:val="none" w:color="auto"/>
          <w:lang w:val="en-US" w:eastAsia="zh-CN"/>
        </w:rPr>
        <w:t>创建省市级和美乡村示范村13个</w:t>
      </w:r>
      <w:r>
        <w:rPr>
          <w:rFonts w:hint="default" w:ascii="Times New Roman" w:hAnsi="Times New Roman" w:eastAsia="仿宋_GB2312" w:cs="Times New Roman"/>
          <w:color w:val="auto"/>
          <w:sz w:val="32"/>
          <w:szCs w:val="32"/>
          <w:highlight w:val="none"/>
          <w:u w:val="none" w:color="auto"/>
          <w:rtl w:val="0"/>
          <w:lang w:val="en-US" w:eastAsia="zh-CN"/>
        </w:rPr>
        <w:t>，</w:t>
      </w:r>
      <w:r>
        <w:rPr>
          <w:rFonts w:hint="default" w:ascii="Times New Roman" w:hAnsi="Times New Roman" w:eastAsia="仿宋_GB2312" w:cs="Times New Roman"/>
          <w:color w:val="auto"/>
          <w:sz w:val="32"/>
          <w:szCs w:val="32"/>
          <w:highlight w:val="none"/>
          <w:u w:val="none" w:color="auto"/>
          <w:lang w:val="en-US" w:eastAsia="zh-CN"/>
        </w:rPr>
        <w:t>拉起河村、东风村跻身全国文明村镇</w:t>
      </w:r>
      <w:r>
        <w:rPr>
          <w:rFonts w:hint="default" w:ascii="Times New Roman" w:hAnsi="Times New Roman" w:eastAsia="仿宋_GB2312" w:cs="Times New Roman"/>
          <w:color w:val="auto"/>
          <w:sz w:val="32"/>
          <w:szCs w:val="32"/>
          <w:highlight w:val="none"/>
          <w:u w:val="none" w:color="auto"/>
          <w:rtl w:val="0"/>
          <w:lang w:val="en-US" w:eastAsia="zh-CN"/>
        </w:rPr>
        <w:t>，青河镇红星村荣获2025最美村镇“乡村治理成就奖”。我市成功入选全国乡村全面振兴工作联系点。</w:t>
      </w:r>
    </w:p>
    <w:p w14:paraId="448257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u w:val="none" w:color="auto"/>
          <w:rtl w:val="0"/>
          <w:lang w:val="en-US" w:eastAsia="zh-CN"/>
        </w:rPr>
      </w:pPr>
      <w:r>
        <w:rPr>
          <w:rFonts w:hint="default" w:ascii="Times New Roman" w:hAnsi="Times New Roman" w:eastAsia="楷体_GB2312" w:cs="Times New Roman"/>
          <w:b/>
          <w:bCs/>
          <w:color w:val="auto"/>
          <w:sz w:val="32"/>
          <w:szCs w:val="32"/>
          <w:highlight w:val="none"/>
          <w:u w:val="none" w:color="auto"/>
          <w:rtl w:val="0"/>
          <w:lang w:val="en-US" w:eastAsia="zh-CN"/>
        </w:rPr>
        <w:t>(四)第三产业活力迸发。</w:t>
      </w:r>
      <w:r>
        <w:rPr>
          <w:rFonts w:hint="default" w:ascii="Times New Roman" w:hAnsi="Times New Roman" w:eastAsia="仿宋_GB2312" w:cs="Times New Roman"/>
          <w:b/>
          <w:bCs/>
          <w:color w:val="auto"/>
          <w:kern w:val="21"/>
          <w:sz w:val="32"/>
          <w:szCs w:val="32"/>
          <w:highlight w:val="none"/>
          <w:u w:val="none" w:color="auto"/>
          <w:rtl w:val="0"/>
          <w:lang w:val="en-US" w:eastAsia="zh-CN" w:bidi="ar-SA"/>
        </w:rPr>
        <w:t>景区景点强势出圈。</w:t>
      </w:r>
      <w:r>
        <w:rPr>
          <w:rFonts w:hint="default" w:ascii="Times New Roman" w:hAnsi="Times New Roman" w:eastAsia="仿宋_GB2312" w:cs="Times New Roman"/>
          <w:b w:val="0"/>
          <w:bCs w:val="0"/>
          <w:color w:val="auto"/>
          <w:sz w:val="32"/>
          <w:szCs w:val="32"/>
          <w:highlight w:val="none"/>
          <w:u w:val="none" w:color="auto"/>
          <w:rtl w:val="0"/>
          <w:lang w:val="en-US" w:eastAsia="zh-CN"/>
        </w:rPr>
        <w:t>高标准服务全省旅发大会，三江口生态旅游区、非遗数字体验馆等景区提档升级，稻田公园、起点邮局等景点建成投用，观光小火车、画舫游船等游乐项目人气爆棚，“此生必稻”、光影秀等景观吸引万千游客驻足打卡，三江口生态旅游区、街津口赫哲小镇入选省级十大旅游品牌(小镇)。</w:t>
      </w:r>
      <w:r>
        <w:rPr>
          <w:rFonts w:hint="default" w:ascii="Times New Roman" w:hAnsi="Times New Roman" w:eastAsia="仿宋_GB2312" w:cs="Times New Roman"/>
          <w:b/>
          <w:bCs/>
          <w:color w:val="auto"/>
          <w:kern w:val="21"/>
          <w:sz w:val="32"/>
          <w:szCs w:val="32"/>
          <w:highlight w:val="none"/>
          <w:u w:val="none" w:color="auto"/>
          <w:rtl w:val="0"/>
          <w:lang w:val="en-US" w:eastAsia="zh-CN" w:bidi="ar-SA"/>
        </w:rPr>
        <w:t>文旅活动火爆出圈。</w:t>
      </w:r>
      <w:r>
        <w:rPr>
          <w:rFonts w:hint="default" w:ascii="Times New Roman" w:hAnsi="Times New Roman" w:eastAsia="仿宋_GB2312" w:cs="Times New Roman"/>
          <w:b w:val="0"/>
          <w:bCs w:val="0"/>
          <w:color w:val="auto"/>
          <w:kern w:val="21"/>
          <w:sz w:val="32"/>
          <w:szCs w:val="32"/>
          <w:highlight w:val="none"/>
          <w:u w:val="none" w:color="auto"/>
          <w:rtl w:val="0"/>
          <w:lang w:val="en-US" w:eastAsia="zh-CN" w:bidi="ar-SA"/>
        </w:rPr>
        <w:t>成功举办</w:t>
      </w:r>
      <w:r>
        <w:rPr>
          <w:rFonts w:hint="default" w:ascii="Times New Roman" w:hAnsi="Times New Roman" w:eastAsia="仿宋_GB2312" w:cs="Times New Roman"/>
          <w:b w:val="0"/>
          <w:bCs w:val="0"/>
          <w:color w:val="auto"/>
          <w:sz w:val="32"/>
          <w:szCs w:val="32"/>
          <w:highlight w:val="none"/>
          <w:u w:val="none" w:color="auto"/>
          <w:rtl w:val="0"/>
          <w:lang w:val="en-US" w:eastAsia="zh-CN"/>
        </w:rPr>
        <w:t>重机嘉年华</w:t>
      </w:r>
      <w:r>
        <w:rPr>
          <w:rFonts w:hint="default" w:ascii="Times New Roman" w:hAnsi="Times New Roman" w:eastAsia="仿宋_GB2312" w:cs="Times New Roman"/>
          <w:b w:val="0"/>
          <w:bCs w:val="0"/>
          <w:color w:val="auto"/>
          <w:kern w:val="21"/>
          <w:sz w:val="32"/>
          <w:szCs w:val="32"/>
          <w:highlight w:val="none"/>
          <w:u w:val="none" w:color="auto"/>
          <w:rtl w:val="0"/>
          <w:lang w:val="en-US" w:eastAsia="zh-CN" w:bidi="ar-SA"/>
        </w:rPr>
        <w:t>等活动60余场，</w:t>
      </w:r>
      <w:r>
        <w:rPr>
          <w:rFonts w:hint="default" w:ascii="Times New Roman" w:hAnsi="Times New Roman" w:eastAsia="仿宋_GB2312" w:cs="Times New Roman"/>
          <w:b w:val="0"/>
          <w:bCs w:val="0"/>
          <w:color w:val="auto"/>
          <w:sz w:val="32"/>
          <w:szCs w:val="32"/>
          <w:highlight w:val="none"/>
          <w:u w:val="none" w:color="auto"/>
          <w:rtl w:val="0"/>
          <w:lang w:val="en-US" w:eastAsia="zh-CN"/>
        </w:rPr>
        <w:t>吸引国内外游客194万人次</w:t>
      </w:r>
      <w:r>
        <w:rPr>
          <w:rFonts w:hint="default" w:ascii="Times New Roman" w:hAnsi="Times New Roman" w:eastAsia="仿宋_GB2312" w:cs="Times New Roman"/>
          <w:b w:val="0"/>
          <w:bCs w:val="0"/>
          <w:color w:val="auto"/>
          <w:kern w:val="21"/>
          <w:sz w:val="32"/>
          <w:szCs w:val="32"/>
          <w:highlight w:val="none"/>
          <w:u w:val="none" w:color="auto"/>
          <w:rtl w:val="0"/>
          <w:lang w:val="en-US" w:eastAsia="zh-CN" w:bidi="ar-SA"/>
        </w:rPr>
        <w:t>，</w:t>
      </w:r>
      <w:r>
        <w:rPr>
          <w:rFonts w:hint="default" w:ascii="Times New Roman" w:hAnsi="Times New Roman" w:eastAsia="仿宋_GB2312" w:cs="Times New Roman"/>
          <w:b w:val="0"/>
          <w:bCs w:val="0"/>
          <w:color w:val="auto"/>
          <w:sz w:val="32"/>
          <w:szCs w:val="32"/>
          <w:highlight w:val="none"/>
          <w:u w:val="none" w:color="auto"/>
          <w:rtl w:val="0"/>
          <w:lang w:val="en-US" w:eastAsia="zh-CN"/>
        </w:rPr>
        <w:t>旅游旺季生意火爆、一房难求。同江之夜演唱会、篮球邀请赛、冰超联赛等活动广受好评，获央视等</w:t>
      </w:r>
      <w:r>
        <w:rPr>
          <w:rFonts w:hint="default" w:ascii="Times New Roman" w:hAnsi="Times New Roman" w:eastAsia="仿宋_GB2312" w:cs="Times New Roman"/>
          <w:color w:val="auto"/>
          <w:sz w:val="32"/>
          <w:szCs w:val="32"/>
          <w:highlight w:val="none"/>
          <w:u w:val="none" w:color="auto"/>
          <w:lang w:val="en-US" w:eastAsia="zh-CN"/>
        </w:rPr>
        <w:t>主流媒体多次推广，</w:t>
      </w:r>
      <w:r>
        <w:rPr>
          <w:rFonts w:hint="default" w:ascii="Times New Roman" w:hAnsi="Times New Roman" w:eastAsia="仿宋_GB2312" w:cs="Times New Roman"/>
          <w:b w:val="0"/>
          <w:bCs w:val="0"/>
          <w:color w:val="auto"/>
          <w:sz w:val="32"/>
          <w:szCs w:val="32"/>
          <w:highlight w:val="none"/>
          <w:u w:val="none" w:color="auto"/>
          <w:rtl w:val="0"/>
          <w:lang w:val="en-US" w:eastAsia="zh-CN"/>
        </w:rPr>
        <w:t>全网</w:t>
      </w:r>
      <w:r>
        <w:rPr>
          <w:rFonts w:hint="default" w:ascii="Times New Roman" w:hAnsi="Times New Roman" w:eastAsia="仿宋_GB2312" w:cs="Times New Roman"/>
          <w:color w:val="auto"/>
          <w:sz w:val="32"/>
          <w:szCs w:val="32"/>
          <w:highlight w:val="none"/>
          <w:u w:val="none" w:color="auto"/>
          <w:lang w:val="en-US" w:eastAsia="zh-CN"/>
        </w:rPr>
        <w:t>话题阅读量超1.85亿次。</w:t>
      </w:r>
      <w:r>
        <w:rPr>
          <w:rFonts w:hint="default" w:ascii="Times New Roman" w:hAnsi="Times New Roman" w:eastAsia="仿宋_GB2312" w:cs="Times New Roman"/>
          <w:b w:val="0"/>
          <w:bCs w:val="0"/>
          <w:color w:val="auto"/>
          <w:sz w:val="32"/>
          <w:szCs w:val="32"/>
          <w:highlight w:val="none"/>
          <w:u w:val="none" w:color="auto"/>
          <w:rtl w:val="0"/>
          <w:lang w:val="en-US" w:eastAsia="zh-CN"/>
        </w:rPr>
        <w:t>“中俄边境文化季”获评国家级文化品牌创新案例。</w:t>
      </w:r>
      <w:r>
        <w:rPr>
          <w:rFonts w:hint="default" w:ascii="Times New Roman" w:hAnsi="Times New Roman" w:eastAsia="仿宋_GB2312" w:cs="Times New Roman"/>
          <w:b/>
          <w:bCs/>
          <w:color w:val="auto"/>
          <w:kern w:val="21"/>
          <w:sz w:val="32"/>
          <w:szCs w:val="32"/>
          <w:highlight w:val="none"/>
          <w:u w:val="none" w:color="auto"/>
          <w:rtl w:val="0"/>
          <w:lang w:val="en-US" w:eastAsia="zh-CN" w:bidi="ar-SA"/>
        </w:rPr>
        <w:t>新兴业态破局出圈。</w:t>
      </w:r>
      <w:r>
        <w:rPr>
          <w:rFonts w:hint="default" w:ascii="Times New Roman" w:hAnsi="Times New Roman" w:eastAsia="仿宋_GB2312" w:cs="Times New Roman"/>
          <w:b w:val="0"/>
          <w:bCs w:val="0"/>
          <w:color w:val="auto"/>
          <w:kern w:val="21"/>
          <w:sz w:val="32"/>
          <w:szCs w:val="32"/>
          <w:highlight w:val="none"/>
          <w:u w:val="none" w:color="auto"/>
          <w:rtl w:val="0"/>
          <w:lang w:val="en-US" w:eastAsia="zh-CN" w:bidi="ar-SA"/>
        </w:rPr>
        <w:t>悦澜居等宾馆酒店改造升级，俄式江景、赫哲风情精品民宿投入运营</w:t>
      </w:r>
      <w:r>
        <w:rPr>
          <w:rFonts w:hint="default" w:ascii="Times New Roman" w:hAnsi="Times New Roman" w:eastAsia="仿宋_GB2312" w:cs="Times New Roman"/>
          <w:b w:val="0"/>
          <w:bCs w:val="0"/>
          <w:color w:val="auto"/>
          <w:sz w:val="32"/>
          <w:szCs w:val="32"/>
          <w:highlight w:val="none"/>
          <w:u w:val="none" w:color="auto"/>
          <w:rtl w:val="0"/>
          <w:lang w:val="en-US" w:eastAsia="zh-CN"/>
        </w:rPr>
        <w:t>，</w:t>
      </w:r>
      <w:r>
        <w:rPr>
          <w:rFonts w:hint="default" w:ascii="Times New Roman" w:hAnsi="Times New Roman" w:eastAsia="仿宋_GB2312" w:cs="Times New Roman"/>
          <w:b w:val="0"/>
          <w:bCs w:val="0"/>
          <w:color w:val="auto"/>
          <w:kern w:val="21"/>
          <w:sz w:val="32"/>
          <w:szCs w:val="32"/>
          <w:highlight w:val="none"/>
          <w:u w:val="none" w:color="auto"/>
          <w:rtl w:val="0"/>
          <w:lang w:val="en-US" w:eastAsia="zh-CN" w:bidi="ar-SA"/>
        </w:rPr>
        <w:t>罗西娅、比瓦和列巴、鳇鱼火锅等特色首店相继</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开业，东北三姐妹、刁秋林等本土网红崭露头角，</w:t>
      </w:r>
      <w:r>
        <w:rPr>
          <w:rFonts w:hint="default" w:ascii="Times New Roman" w:hAnsi="Times New Roman" w:eastAsia="仿宋_GB2312" w:cs="Times New Roman"/>
          <w:b w:val="0"/>
          <w:bCs w:val="0"/>
          <w:color w:val="auto"/>
          <w:sz w:val="32"/>
          <w:szCs w:val="32"/>
          <w:highlight w:val="none"/>
          <w:u w:val="none" w:color="auto"/>
          <w:rtl w:val="0"/>
          <w:lang w:val="en-US" w:eastAsia="zh-CN"/>
        </w:rPr>
        <w:t>偶来了、“俄品同江”等本土品牌</w:t>
      </w:r>
      <w:r>
        <w:rPr>
          <w:rFonts w:hint="default" w:ascii="Times New Roman" w:hAnsi="Times New Roman" w:eastAsia="仿宋_GB2312" w:cs="Times New Roman"/>
          <w:b w:val="0"/>
          <w:bCs w:val="0"/>
          <w:color w:val="auto"/>
          <w:kern w:val="21"/>
          <w:sz w:val="32"/>
          <w:szCs w:val="32"/>
          <w:highlight w:val="none"/>
          <w:u w:val="none" w:color="auto"/>
          <w:rtl w:val="0"/>
          <w:lang w:val="en-US" w:eastAsia="zh-CN" w:bidi="ar-SA"/>
        </w:rPr>
        <w:t>陆续</w:t>
      </w:r>
      <w:r>
        <w:rPr>
          <w:rFonts w:hint="default" w:ascii="Times New Roman" w:hAnsi="Times New Roman" w:eastAsia="仿宋_GB2312" w:cs="Times New Roman"/>
          <w:b w:val="0"/>
          <w:bCs w:val="0"/>
          <w:color w:val="auto"/>
          <w:sz w:val="32"/>
          <w:szCs w:val="32"/>
          <w:highlight w:val="none"/>
          <w:u w:val="none" w:color="auto"/>
          <w:rtl w:val="0"/>
          <w:lang w:val="en-US" w:eastAsia="zh-CN"/>
        </w:rPr>
        <w:t>走红，</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离境退税“即买即退”服务全面启动</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sz w:val="32"/>
          <w:szCs w:val="32"/>
          <w:highlight w:val="none"/>
          <w:u w:val="none" w:color="auto"/>
          <w:rtl w:val="0"/>
          <w:lang w:val="en-US" w:eastAsia="zh-CN"/>
        </w:rPr>
        <w:t>新业态、新场景推动文旅消费再创新高。</w:t>
      </w:r>
      <w:r>
        <w:rPr>
          <w:rFonts w:hint="default" w:ascii="Times New Roman" w:hAnsi="Times New Roman" w:eastAsia="仿宋_GB2312" w:cs="Times New Roman"/>
          <w:b/>
          <w:bCs/>
          <w:color w:val="auto"/>
          <w:sz w:val="32"/>
          <w:szCs w:val="32"/>
          <w:highlight w:val="none"/>
          <w:u w:val="none" w:color="auto"/>
          <w:rtl w:val="0"/>
          <w:lang w:val="en-US" w:eastAsia="zh-CN"/>
        </w:rPr>
        <w:t>非遗百业花式出圈。</w:t>
      </w:r>
      <w:r>
        <w:rPr>
          <w:rFonts w:hint="default" w:ascii="Times New Roman" w:hAnsi="Times New Roman" w:eastAsia="仿宋_GB2312" w:cs="Times New Roman"/>
          <w:b w:val="0"/>
          <w:bCs w:val="0"/>
          <w:color w:val="auto"/>
          <w:sz w:val="32"/>
          <w:szCs w:val="32"/>
          <w:highlight w:val="none"/>
          <w:u w:val="none" w:color="auto"/>
          <w:rtl w:val="0"/>
          <w:lang w:val="en-US" w:eastAsia="zh-CN"/>
        </w:rPr>
        <w:t>文创设计产业园开园运营，文创产品销售额突破450万元。同江</w:t>
      </w:r>
      <w:r>
        <w:rPr>
          <w:rFonts w:hint="default" w:ascii="Times New Roman" w:hAnsi="Times New Roman" w:eastAsia="仿宋_GB2312" w:cs="Times New Roman"/>
          <w:color w:val="auto"/>
          <w:sz w:val="32"/>
          <w:szCs w:val="32"/>
          <w:highlight w:val="none"/>
          <w:u w:val="none" w:color="auto"/>
          <w:lang w:val="en-US" w:eastAsia="zh-CN"/>
        </w:rPr>
        <w:t>赫哲文化亮相央视《非遗里的中国》，</w:t>
      </w:r>
      <w:r>
        <w:rPr>
          <w:rFonts w:hint="default" w:ascii="Times New Roman" w:hAnsi="Times New Roman" w:eastAsia="仿宋_GB2312" w:cs="Times New Roman"/>
          <w:b w:val="0"/>
          <w:bCs w:val="0"/>
          <w:color w:val="auto"/>
          <w:sz w:val="32"/>
          <w:szCs w:val="32"/>
          <w:highlight w:val="none"/>
          <w:u w:val="none" w:color="auto"/>
          <w:rtl w:val="0"/>
          <w:lang w:val="en-US" w:eastAsia="zh-CN"/>
        </w:rPr>
        <w:t>赫哲鱼皮衣制作技艺入选《中国风物报告》，伊玛堪首次实现转名录和入选优秀保护实践名册“双成功”，千年文脉绽放时代新光。</w:t>
      </w:r>
    </w:p>
    <w:p w14:paraId="0594BE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color="auto"/>
          <w:rtl w:val="0"/>
          <w:lang w:val="en-US" w:eastAsia="zh-CN"/>
        </w:rPr>
      </w:pPr>
      <w:r>
        <w:rPr>
          <w:rFonts w:hint="default" w:ascii="Times New Roman" w:hAnsi="Times New Roman" w:eastAsia="楷体_GB2312" w:cs="Times New Roman"/>
          <w:b/>
          <w:bCs/>
          <w:color w:val="auto"/>
          <w:sz w:val="32"/>
          <w:szCs w:val="32"/>
          <w:highlight w:val="none"/>
          <w:u w:val="none" w:color="auto"/>
          <w:rtl w:val="0"/>
          <w:lang w:val="en-US" w:eastAsia="zh-CN"/>
        </w:rPr>
        <w:t>(五)城乡面貌蝶变焕新。</w:t>
      </w:r>
      <w:r>
        <w:rPr>
          <w:rFonts w:hint="default" w:ascii="Times New Roman" w:hAnsi="Times New Roman" w:eastAsia="仿宋_GB2312" w:cs="Times New Roman"/>
          <w:b/>
          <w:bCs/>
          <w:color w:val="auto"/>
          <w:sz w:val="32"/>
          <w:szCs w:val="32"/>
          <w:highlight w:val="none"/>
          <w:u w:val="none" w:color="auto"/>
          <w:rtl w:val="0"/>
          <w:lang w:val="en-US" w:eastAsia="zh-CN"/>
        </w:rPr>
        <w:t>城市更新全面提速，</w:t>
      </w:r>
      <w:r>
        <w:rPr>
          <w:rFonts w:hint="default" w:ascii="Times New Roman" w:hAnsi="Times New Roman" w:eastAsia="仿宋_GB2312" w:cs="Times New Roman"/>
          <w:b w:val="0"/>
          <w:bCs w:val="0"/>
          <w:color w:val="auto"/>
          <w:sz w:val="32"/>
          <w:szCs w:val="32"/>
          <w:highlight w:val="none"/>
          <w:u w:val="none" w:color="auto"/>
          <w:rtl w:val="0"/>
          <w:lang w:val="en-US" w:eastAsia="zh-CN"/>
        </w:rPr>
        <w:t>机械厂综合楼等8个老旧小区焕发新颜，40.12公里城区管网改造升级</w:t>
      </w:r>
      <w:r>
        <w:rPr>
          <w:rFonts w:hint="default" w:ascii="Times New Roman" w:hAnsi="Times New Roman" w:eastAsia="仿宋_GB2312" w:cs="Times New Roman"/>
          <w:color w:val="auto"/>
          <w:sz w:val="32"/>
          <w:szCs w:val="32"/>
          <w:highlight w:val="none"/>
          <w:u w:val="none" w:color="auto"/>
          <w:rtl w:val="0"/>
          <w:lang w:val="en-US" w:eastAsia="zh-CN"/>
        </w:rPr>
        <w:t>，城市品质持续提高。提标改造三江口大街等7条道路，新建城市绿道7公里，“鳇鱼”“套娃”等993套特色耳灯点亮夜间风情，东北亚广场、俄罗斯风情园等7个公园华丽变身，“推窗见景、出门入园”成为常态。</w:t>
      </w:r>
      <w:r>
        <w:rPr>
          <w:rFonts w:hint="default" w:ascii="Times New Roman" w:hAnsi="Times New Roman" w:eastAsia="仿宋_GB2312" w:cs="Times New Roman"/>
          <w:b/>
          <w:bCs/>
          <w:color w:val="auto"/>
          <w:sz w:val="32"/>
          <w:szCs w:val="32"/>
          <w:highlight w:val="none"/>
          <w:u w:val="none" w:color="auto"/>
          <w:rtl w:val="0"/>
          <w:lang w:val="en-US" w:eastAsia="zh-CN"/>
        </w:rPr>
        <w:t>城市管理科学规范，</w:t>
      </w:r>
      <w:r>
        <w:rPr>
          <w:rFonts w:hint="default" w:ascii="Times New Roman" w:hAnsi="Times New Roman" w:eastAsia="仿宋_GB2312" w:cs="Times New Roman"/>
          <w:b w:val="0"/>
          <w:bCs w:val="0"/>
          <w:color w:val="auto"/>
          <w:sz w:val="32"/>
          <w:szCs w:val="32"/>
          <w:highlight w:val="none"/>
          <w:u w:val="none" w:color="auto"/>
          <w:rtl w:val="0"/>
          <w:lang w:val="en-US" w:eastAsia="zh-CN"/>
        </w:rPr>
        <w:t>深化“十乱”整治与“拆围拆违”，精心打造2处便民服务点、4处观光菜园与7处绿地花海。搭建智慧城市基层治理平台，上线“随手拍”小程序，城市管理精细化、智能化水平不断提升。</w:t>
      </w:r>
      <w:r>
        <w:rPr>
          <w:rFonts w:hint="default" w:ascii="Times New Roman" w:hAnsi="Times New Roman" w:eastAsia="仿宋_GB2312" w:cs="Times New Roman"/>
          <w:color w:val="auto"/>
          <w:sz w:val="32"/>
          <w:szCs w:val="32"/>
          <w:highlight w:val="none"/>
          <w:u w:val="none" w:color="auto"/>
          <w:lang w:val="en-US" w:eastAsia="zh-CN"/>
        </w:rPr>
        <w:t>全国文明城市首创首成。</w:t>
      </w:r>
      <w:r>
        <w:rPr>
          <w:rFonts w:hint="default" w:ascii="Times New Roman" w:hAnsi="Times New Roman" w:eastAsia="仿宋_GB2312" w:cs="Times New Roman"/>
          <w:b/>
          <w:bCs/>
          <w:color w:val="auto"/>
          <w:sz w:val="32"/>
          <w:szCs w:val="32"/>
          <w:highlight w:val="none"/>
          <w:u w:val="none" w:color="auto"/>
          <w:rtl w:val="0"/>
          <w:lang w:val="en-US" w:eastAsia="zh-CN"/>
        </w:rPr>
        <w:t>公共服务显著提升，</w:t>
      </w:r>
      <w:r>
        <w:rPr>
          <w:rFonts w:hint="default" w:ascii="Times New Roman" w:hAnsi="Times New Roman" w:eastAsia="仿宋_GB2312" w:cs="Times New Roman"/>
          <w:color w:val="auto"/>
          <w:sz w:val="32"/>
          <w:szCs w:val="32"/>
          <w:highlight w:val="none"/>
          <w:u w:val="none" w:color="auto"/>
          <w:rtl w:val="0"/>
          <w:lang w:val="en-US" w:eastAsia="zh-CN"/>
        </w:rPr>
        <w:t>1</w:t>
      </w:r>
      <w:r>
        <w:rPr>
          <w:rFonts w:hint="default" w:ascii="Times New Roman" w:hAnsi="Times New Roman" w:eastAsia="仿宋_GB2312" w:cs="Times New Roman"/>
          <w:b w:val="0"/>
          <w:bCs w:val="0"/>
          <w:color w:val="auto"/>
          <w:sz w:val="32"/>
          <w:szCs w:val="32"/>
          <w:highlight w:val="none"/>
          <w:u w:val="none" w:color="auto"/>
          <w:rtl w:val="0"/>
          <w:lang w:val="en-US" w:eastAsia="zh-CN"/>
        </w:rPr>
        <w:t>17个无物业小区</w:t>
      </w:r>
      <w:r>
        <w:rPr>
          <w:rFonts w:hint="default" w:ascii="Times New Roman" w:hAnsi="Times New Roman" w:eastAsia="仿宋_GB2312" w:cs="Times New Roman"/>
          <w:color w:val="auto"/>
          <w:sz w:val="32"/>
          <w:szCs w:val="32"/>
          <w:highlight w:val="none"/>
          <w:u w:val="none" w:color="auto"/>
          <w:rtl w:val="0"/>
          <w:lang w:val="en-US" w:eastAsia="zh-CN"/>
        </w:rPr>
        <w:t>实现</w:t>
      </w:r>
      <w:r>
        <w:rPr>
          <w:rFonts w:hint="default" w:ascii="Times New Roman" w:hAnsi="Times New Roman" w:eastAsia="仿宋_GB2312" w:cs="Times New Roman"/>
          <w:b w:val="0"/>
          <w:bCs w:val="0"/>
          <w:color w:val="auto"/>
          <w:sz w:val="32"/>
          <w:szCs w:val="32"/>
          <w:highlight w:val="none"/>
          <w:u w:val="none" w:color="auto"/>
          <w:rtl w:val="0"/>
          <w:lang w:val="en-US" w:eastAsia="zh-CN"/>
        </w:rPr>
        <w:t>国企物业全接管，打造“红色物业”30个，建立物业服务红黄黑榜制度，逐步提升</w:t>
      </w:r>
      <w:r>
        <w:rPr>
          <w:rFonts w:hint="default" w:ascii="Times New Roman" w:hAnsi="Times New Roman" w:eastAsia="仿宋_GB2312" w:cs="Times New Roman"/>
          <w:color w:val="auto"/>
          <w:sz w:val="32"/>
          <w:szCs w:val="32"/>
          <w:highlight w:val="none"/>
          <w:u w:val="none" w:color="auto"/>
          <w:lang w:val="en-US" w:eastAsia="zh-CN"/>
        </w:rPr>
        <w:t>物业服务质效。</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燃气、供水缴费服务入驻政务服务大厅，</w:t>
      </w:r>
      <w:r>
        <w:rPr>
          <w:rFonts w:hint="default" w:ascii="Times New Roman" w:hAnsi="Times New Roman" w:eastAsia="仿宋_GB2312" w:cs="Times New Roman"/>
          <w:color w:val="auto"/>
          <w:sz w:val="32"/>
          <w:szCs w:val="32"/>
          <w:highlight w:val="none"/>
          <w:u w:val="none" w:color="auto"/>
          <w:lang w:val="en-US" w:eastAsia="zh-CN"/>
        </w:rPr>
        <w:t>城乡供水服务一体化初步形成。</w:t>
      </w:r>
      <w:r>
        <w:rPr>
          <w:rFonts w:hint="default" w:ascii="Times New Roman" w:hAnsi="Times New Roman" w:eastAsia="仿宋_GB2312" w:cs="Times New Roman"/>
          <w:b/>
          <w:bCs/>
          <w:color w:val="auto"/>
          <w:sz w:val="32"/>
          <w:szCs w:val="32"/>
          <w:highlight w:val="none"/>
          <w:u w:val="none" w:color="auto"/>
          <w:rtl w:val="0"/>
          <w:lang w:val="en-US" w:eastAsia="zh-CN"/>
        </w:rPr>
        <w:t>生态底色更加鲜明，</w:t>
      </w:r>
      <w:r>
        <w:rPr>
          <w:rFonts w:hint="default" w:ascii="Times New Roman" w:hAnsi="Times New Roman" w:eastAsia="仿宋_GB2312" w:cs="Times New Roman"/>
          <w:b w:val="0"/>
          <w:bCs w:val="0"/>
          <w:color w:val="auto"/>
          <w:sz w:val="32"/>
          <w:szCs w:val="32"/>
          <w:highlight w:val="none"/>
          <w:u w:val="none" w:color="auto"/>
          <w:rtl w:val="0"/>
          <w:lang w:val="en-US" w:eastAsia="zh-CN"/>
        </w:rPr>
        <w:t>深化环保督察反馈问题整改，修复历史遗留废弃矿山10.2公顷，创建拉起河、青龙河等5条幸福河湖，八岔岛国家级自然保护区顺利通过生态环境部首次成效评估，生态优势逐渐成为同江发展金字招牌。</w:t>
      </w:r>
    </w:p>
    <w:p w14:paraId="216A4D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pacing w:val="0"/>
          <w:kern w:val="2"/>
          <w:sz w:val="32"/>
          <w:szCs w:val="32"/>
          <w:highlight w:val="none"/>
          <w:u w:val="none" w:color="auto"/>
          <w:lang w:val="en-US" w:eastAsia="zh-CN" w:bidi="ar-SA"/>
        </w:rPr>
      </w:pPr>
      <w:r>
        <w:rPr>
          <w:rFonts w:hint="default" w:ascii="Times New Roman" w:hAnsi="Times New Roman" w:eastAsia="楷体_GB2312" w:cs="Times New Roman"/>
          <w:b/>
          <w:bCs/>
          <w:color w:val="auto"/>
          <w:sz w:val="32"/>
          <w:szCs w:val="32"/>
          <w:highlight w:val="none"/>
          <w:u w:val="none" w:color="auto"/>
          <w:lang w:val="en-US" w:eastAsia="zh-CN"/>
        </w:rPr>
        <w:t>(六)</w:t>
      </w:r>
      <w:r>
        <w:rPr>
          <w:rFonts w:hint="default" w:ascii="Times New Roman" w:hAnsi="Times New Roman" w:eastAsia="楷体_GB2312" w:cs="Times New Roman"/>
          <w:b/>
          <w:bCs/>
          <w:color w:val="auto"/>
          <w:sz w:val="32"/>
          <w:szCs w:val="32"/>
          <w:highlight w:val="none"/>
          <w:u w:val="none" w:color="auto"/>
          <w:lang w:eastAsia="zh-CN"/>
        </w:rPr>
        <w:t>民生答卷温暖厚实。</w:t>
      </w:r>
      <w:r>
        <w:rPr>
          <w:rFonts w:hint="default" w:ascii="Times New Roman" w:hAnsi="Times New Roman" w:eastAsia="仿宋_GB2312" w:cs="Times New Roman"/>
          <w:bCs/>
          <w:color w:val="auto"/>
          <w:spacing w:val="0"/>
          <w:kern w:val="2"/>
          <w:sz w:val="32"/>
          <w:szCs w:val="32"/>
          <w:highlight w:val="none"/>
          <w:u w:val="none" w:color="auto"/>
          <w:lang w:val="en-US" w:eastAsia="zh-CN" w:bidi="ar-SA"/>
        </w:rPr>
        <w:t>全年民生领域支出占财政总支出比重达84.34%，40件民生实事高效落实，8560件“12345”热线事项全部办复。</w:t>
      </w:r>
      <w:r>
        <w:rPr>
          <w:rFonts w:hint="default" w:ascii="Times New Roman" w:hAnsi="Times New Roman" w:eastAsia="仿宋_GB2312" w:cs="Times New Roman"/>
          <w:b/>
          <w:bCs w:val="0"/>
          <w:color w:val="auto"/>
          <w:spacing w:val="0"/>
          <w:kern w:val="2"/>
          <w:sz w:val="32"/>
          <w:szCs w:val="32"/>
          <w:highlight w:val="none"/>
          <w:u w:val="none" w:color="auto"/>
          <w:lang w:val="en-US" w:eastAsia="zh-CN" w:bidi="ar-SA"/>
        </w:rPr>
        <w:t>就业保障更加扎实，</w:t>
      </w:r>
      <w:r>
        <w:rPr>
          <w:rFonts w:hint="default" w:ascii="Times New Roman" w:hAnsi="Times New Roman" w:eastAsia="仿宋_GB2312" w:cs="Times New Roman"/>
          <w:bCs/>
          <w:color w:val="auto"/>
          <w:spacing w:val="0"/>
          <w:kern w:val="2"/>
          <w:sz w:val="32"/>
          <w:szCs w:val="32"/>
          <w:highlight w:val="none"/>
          <w:u w:val="none" w:color="auto"/>
          <w:lang w:val="en-US" w:eastAsia="zh-CN" w:bidi="ar-SA"/>
        </w:rPr>
        <w:t>开发“大龄岗”“妈妈岗”等特色岗位401个，幸福路“家门口”就业服务站建成投用，“直播带岗”广受好评，大岗“马路蹲活”成为历史。积极培育特色劳务品牌，</w:t>
      </w:r>
      <w:r>
        <w:rPr>
          <w:rFonts w:hint="default" w:ascii="Times New Roman" w:hAnsi="Times New Roman" w:eastAsia="仿宋_GB2312" w:cs="Times New Roman"/>
          <w:bCs/>
          <w:color w:val="auto"/>
          <w:spacing w:val="0"/>
          <w:kern w:val="2"/>
          <w:sz w:val="32"/>
          <w:szCs w:val="32"/>
          <w:highlight w:val="none"/>
          <w:u w:val="none" w:color="auto"/>
          <w:rtl w:val="0"/>
          <w:lang w:val="en-US" w:eastAsia="zh-CN" w:bidi="ar-SA"/>
        </w:rPr>
        <w:t>“王家康康复师”受邀参加全国劳务品牌发展大会</w:t>
      </w:r>
      <w:r>
        <w:rPr>
          <w:rFonts w:hint="default" w:ascii="Times New Roman" w:hAnsi="Times New Roman" w:eastAsia="仿宋_GB2312" w:cs="Times New Roman"/>
          <w:bCs/>
          <w:color w:val="auto"/>
          <w:spacing w:val="0"/>
          <w:kern w:val="2"/>
          <w:sz w:val="32"/>
          <w:szCs w:val="32"/>
          <w:highlight w:val="none"/>
          <w:u w:val="none" w:color="auto"/>
          <w:lang w:val="en-US" w:eastAsia="zh-CN" w:bidi="ar-SA"/>
        </w:rPr>
        <w:t>。城镇新增就业人数2260人。</w:t>
      </w:r>
      <w:r>
        <w:rPr>
          <w:rFonts w:hint="default" w:ascii="Times New Roman" w:hAnsi="Times New Roman" w:eastAsia="仿宋_GB2312" w:cs="Times New Roman"/>
          <w:b/>
          <w:bCs w:val="0"/>
          <w:color w:val="auto"/>
          <w:spacing w:val="0"/>
          <w:kern w:val="2"/>
          <w:sz w:val="32"/>
          <w:szCs w:val="32"/>
          <w:highlight w:val="none"/>
          <w:u w:val="none" w:color="auto"/>
          <w:lang w:val="en-US" w:eastAsia="zh-CN" w:bidi="ar-SA"/>
        </w:rPr>
        <w:t>教育供给更加优质，</w:t>
      </w:r>
      <w:r>
        <w:rPr>
          <w:rFonts w:hint="default" w:ascii="Times New Roman" w:hAnsi="Times New Roman" w:eastAsia="仿宋_GB2312" w:cs="Times New Roman"/>
          <w:bCs/>
          <w:color w:val="auto"/>
          <w:spacing w:val="0"/>
          <w:kern w:val="2"/>
          <w:sz w:val="32"/>
          <w:szCs w:val="32"/>
          <w:highlight w:val="none"/>
          <w:u w:val="none" w:color="auto"/>
          <w:lang w:val="en-US" w:eastAsia="zh-CN" w:bidi="ar-SA"/>
        </w:rPr>
        <w:t>为82户困难陪读家庭发放住房租赁补贴，</w:t>
      </w:r>
      <w:r>
        <w:rPr>
          <w:rFonts w:hint="default" w:ascii="Times New Roman" w:hAnsi="Times New Roman" w:eastAsia="仿宋_GB2312" w:cs="Times New Roman"/>
          <w:color w:val="auto"/>
          <w:spacing w:val="0"/>
          <w:kern w:val="2"/>
          <w:sz w:val="32"/>
          <w:szCs w:val="32"/>
          <w:highlight w:val="none"/>
          <w:u w:val="none" w:color="auto"/>
          <w:lang w:val="en-US" w:eastAsia="zh-CN" w:bidi="ar-SA"/>
        </w:rPr>
        <w:t>5所市区学校新建烘焙间，12所乡镇农场学校实现热餐全覆盖。</w:t>
      </w:r>
      <w:r>
        <w:rPr>
          <w:rFonts w:hint="default" w:ascii="Times New Roman" w:hAnsi="Times New Roman" w:eastAsia="仿宋_GB2312" w:cs="Times New Roman"/>
          <w:color w:val="auto"/>
          <w:spacing w:val="0"/>
          <w:sz w:val="32"/>
          <w:szCs w:val="32"/>
          <w:highlight w:val="none"/>
          <w:u w:val="none" w:color="auto"/>
          <w:lang w:val="en-US" w:eastAsia="zh-CN"/>
        </w:rPr>
        <w:t>大力开展体育运动、赛事活动，“体育每天2小时”融入中小学生日常，“两小一差”得到改善。职业中学俄语教育影响扩大</w:t>
      </w:r>
      <w:r>
        <w:rPr>
          <w:rFonts w:hint="default" w:ascii="Times New Roman" w:hAnsi="Times New Roman" w:eastAsia="仿宋_GB2312" w:cs="Times New Roman"/>
          <w:color w:val="auto"/>
          <w:spacing w:val="0"/>
          <w:kern w:val="2"/>
          <w:sz w:val="32"/>
          <w:szCs w:val="32"/>
          <w:highlight w:val="none"/>
          <w:u w:val="none" w:color="auto"/>
          <w:lang w:val="en-US" w:eastAsia="zh-CN" w:bidi="ar-SA"/>
        </w:rPr>
        <w:t>，3名学生进入太平洋国立大学就读，</w:t>
      </w:r>
      <w:r>
        <w:rPr>
          <w:rFonts w:hint="default" w:ascii="Times New Roman" w:hAnsi="Times New Roman" w:eastAsia="仿宋_GB2312" w:cs="Times New Roman"/>
          <w:color w:val="auto"/>
          <w:spacing w:val="0"/>
          <w:sz w:val="32"/>
          <w:szCs w:val="32"/>
          <w:highlight w:val="none"/>
          <w:u w:val="none" w:color="auto"/>
          <w:lang w:val="en-US" w:eastAsia="zh-CN"/>
        </w:rPr>
        <w:t>俄语在校生人数跃升至全省第一。我市获评全省跨境电商县域产教联合体。</w:t>
      </w:r>
      <w:r>
        <w:rPr>
          <w:rFonts w:hint="default" w:ascii="Times New Roman" w:hAnsi="Times New Roman" w:eastAsia="仿宋_GB2312" w:cs="Times New Roman"/>
          <w:b/>
          <w:bCs/>
          <w:color w:val="auto"/>
          <w:spacing w:val="0"/>
          <w:sz w:val="32"/>
          <w:szCs w:val="32"/>
          <w:highlight w:val="none"/>
          <w:u w:val="none" w:color="auto"/>
          <w:lang w:val="en-US" w:eastAsia="zh-CN"/>
        </w:rPr>
        <w:t>惠民服务</w:t>
      </w:r>
      <w:r>
        <w:rPr>
          <w:rFonts w:hint="default" w:ascii="Times New Roman" w:hAnsi="Times New Roman" w:eastAsia="仿宋_GB2312" w:cs="Times New Roman"/>
          <w:b/>
          <w:bCs/>
          <w:color w:val="auto"/>
          <w:spacing w:val="0"/>
          <w:kern w:val="2"/>
          <w:sz w:val="32"/>
          <w:szCs w:val="32"/>
          <w:highlight w:val="none"/>
          <w:u w:val="none" w:color="auto"/>
          <w:lang w:val="en-US" w:eastAsia="zh-CN" w:bidi="ar-SA"/>
        </w:rPr>
        <w:t>更加贴心，</w:t>
      </w:r>
      <w:r>
        <w:rPr>
          <w:rFonts w:hint="default" w:ascii="Times New Roman" w:hAnsi="Times New Roman" w:eastAsia="仿宋_GB2312" w:cs="Times New Roman"/>
          <w:color w:val="auto"/>
          <w:spacing w:val="0"/>
          <w:kern w:val="2"/>
          <w:sz w:val="32"/>
          <w:szCs w:val="32"/>
          <w:highlight w:val="none"/>
          <w:u w:val="none" w:color="auto"/>
          <w:lang w:val="en-US" w:eastAsia="zh-CN" w:bidi="ar-SA"/>
        </w:rPr>
        <w:t>社区卫生服务中心实现医保报销，</w:t>
      </w:r>
      <w:r>
        <w:rPr>
          <w:rFonts w:hint="default" w:ascii="Times New Roman" w:hAnsi="Times New Roman" w:eastAsia="仿宋_GB2312" w:cs="Times New Roman"/>
          <w:bCs/>
          <w:color w:val="auto"/>
          <w:spacing w:val="0"/>
          <w:kern w:val="2"/>
          <w:sz w:val="32"/>
          <w:szCs w:val="32"/>
          <w:highlight w:val="none"/>
          <w:u w:val="none" w:color="auto"/>
          <w:lang w:val="en-US" w:eastAsia="zh-CN" w:bidi="ar-SA"/>
        </w:rPr>
        <w:t>城市社区居家养老服务中心投入运营，社区食堂开启“点菜+配送”模式，</w:t>
      </w:r>
      <w:r>
        <w:rPr>
          <w:rFonts w:hint="default" w:ascii="Times New Roman" w:hAnsi="Times New Roman" w:eastAsia="仿宋_GB2312" w:cs="Times New Roman"/>
          <w:b w:val="0"/>
          <w:bCs w:val="0"/>
          <w:color w:val="auto"/>
          <w:spacing w:val="0"/>
          <w:sz w:val="32"/>
          <w:szCs w:val="32"/>
          <w:highlight w:val="none"/>
          <w:u w:val="none" w:color="auto"/>
          <w:rtl w:val="0"/>
          <w:lang w:val="en-US" w:eastAsia="zh-CN"/>
        </w:rPr>
        <w:t>4个智能工会驿站正式“上岗”，</w:t>
      </w:r>
      <w:r>
        <w:rPr>
          <w:rFonts w:hint="default" w:ascii="Times New Roman" w:hAnsi="Times New Roman" w:eastAsia="仿宋_GB2312" w:cs="Times New Roman"/>
          <w:bCs/>
          <w:color w:val="auto"/>
          <w:spacing w:val="0"/>
          <w:kern w:val="2"/>
          <w:sz w:val="32"/>
          <w:szCs w:val="32"/>
          <w:highlight w:val="none"/>
          <w:u w:val="none" w:color="auto"/>
          <w:lang w:val="en-US" w:eastAsia="zh-CN" w:bidi="ar-SA"/>
        </w:rPr>
        <w:t>两所公办幼儿园游乐设施周末及暑假免费开放，居民身份证、城乡居民养老保险、婚姻登记等高频事项实现“家门口”办理。</w:t>
      </w:r>
      <w:r>
        <w:rPr>
          <w:rFonts w:hint="default" w:ascii="Times New Roman" w:hAnsi="Times New Roman" w:eastAsia="仿宋_GB2312" w:cs="Times New Roman"/>
          <w:b/>
          <w:bCs w:val="0"/>
          <w:color w:val="auto"/>
          <w:spacing w:val="0"/>
          <w:kern w:val="2"/>
          <w:sz w:val="32"/>
          <w:szCs w:val="32"/>
          <w:highlight w:val="none"/>
          <w:u w:val="none" w:color="auto"/>
          <w:lang w:val="en-US" w:eastAsia="zh-CN" w:bidi="ar-SA"/>
        </w:rPr>
        <w:t>便民设施更加完备，</w:t>
      </w:r>
      <w:r>
        <w:rPr>
          <w:rFonts w:hint="default" w:ascii="Times New Roman" w:hAnsi="Times New Roman" w:eastAsia="仿宋_GB2312" w:cs="Times New Roman"/>
          <w:b w:val="0"/>
          <w:bCs/>
          <w:color w:val="auto"/>
          <w:spacing w:val="0"/>
          <w:kern w:val="2"/>
          <w:sz w:val="32"/>
          <w:szCs w:val="32"/>
          <w:highlight w:val="none"/>
          <w:u w:val="none" w:color="auto"/>
          <w:lang w:val="en-US" w:eastAsia="zh-CN" w:bidi="ar-SA"/>
        </w:rPr>
        <w:t>体育公园建成投用，</w:t>
      </w:r>
      <w:r>
        <w:rPr>
          <w:rFonts w:hint="default" w:ascii="Times New Roman" w:hAnsi="Times New Roman" w:eastAsia="仿宋_GB2312" w:cs="Times New Roman"/>
          <w:color w:val="auto"/>
          <w:spacing w:val="0"/>
          <w:sz w:val="32"/>
          <w:szCs w:val="32"/>
          <w:highlight w:val="none"/>
          <w:u w:val="none" w:color="auto"/>
          <w:lang w:val="en-US" w:eastAsia="zh-CN"/>
        </w:rPr>
        <w:t>增设公用健身游乐设施94套，布设城市慢跑线路7条，</w:t>
      </w:r>
      <w:r>
        <w:rPr>
          <w:rFonts w:hint="default" w:ascii="Times New Roman" w:hAnsi="Times New Roman" w:eastAsia="仿宋_GB2312" w:cs="Times New Roman"/>
          <w:b w:val="0"/>
          <w:bCs w:val="0"/>
          <w:color w:val="auto"/>
          <w:spacing w:val="0"/>
          <w:sz w:val="32"/>
          <w:szCs w:val="32"/>
          <w:highlight w:val="none"/>
          <w:u w:val="none" w:color="auto"/>
          <w:rtl w:val="0"/>
          <w:lang w:val="en-US" w:eastAsia="zh-CN"/>
        </w:rPr>
        <w:t>新建公共停车场13处、停车位737个，配建新能源汽车、电动车充电端口726个，</w:t>
      </w:r>
      <w:r>
        <w:rPr>
          <w:rFonts w:hint="default" w:ascii="Times New Roman" w:hAnsi="Times New Roman" w:eastAsia="仿宋_GB2312" w:cs="Times New Roman"/>
          <w:b w:val="0"/>
          <w:bCs w:val="0"/>
          <w:color w:val="auto"/>
          <w:sz w:val="32"/>
          <w:szCs w:val="32"/>
          <w:highlight w:val="none"/>
          <w:u w:val="none" w:color="auto"/>
          <w:rtl w:val="0"/>
          <w:lang w:val="en-US" w:eastAsia="zh-CN"/>
        </w:rPr>
        <w:t>新建改造公共厕所15座，</w:t>
      </w:r>
      <w:r>
        <w:rPr>
          <w:rFonts w:hint="default" w:ascii="Times New Roman" w:hAnsi="Times New Roman" w:eastAsia="仿宋_GB2312" w:cs="Times New Roman"/>
          <w:bCs/>
          <w:color w:val="auto"/>
          <w:spacing w:val="0"/>
          <w:kern w:val="2"/>
          <w:sz w:val="32"/>
          <w:szCs w:val="32"/>
          <w:highlight w:val="none"/>
          <w:u w:val="none" w:color="auto"/>
          <w:lang w:val="en-US" w:eastAsia="zh-CN" w:bidi="ar-SA"/>
        </w:rPr>
        <w:t>市民生活条件持续改善。</w:t>
      </w:r>
      <w:r>
        <w:rPr>
          <w:rFonts w:hint="default" w:ascii="Times New Roman" w:hAnsi="Times New Roman" w:eastAsia="仿宋_GB2312" w:cs="Times New Roman"/>
          <w:b/>
          <w:bCs w:val="0"/>
          <w:color w:val="auto"/>
          <w:spacing w:val="0"/>
          <w:kern w:val="2"/>
          <w:sz w:val="32"/>
          <w:szCs w:val="32"/>
          <w:highlight w:val="none"/>
          <w:u w:val="none" w:color="auto"/>
          <w:lang w:val="en-US" w:eastAsia="zh-CN" w:bidi="ar-SA"/>
        </w:rPr>
        <w:t>社会保障更有温度，</w:t>
      </w:r>
      <w:r>
        <w:rPr>
          <w:rFonts w:hint="default" w:ascii="Times New Roman" w:hAnsi="Times New Roman" w:eastAsia="仿宋_GB2312" w:cs="Times New Roman"/>
          <w:color w:val="auto"/>
          <w:spacing w:val="0"/>
          <w:kern w:val="2"/>
          <w:sz w:val="32"/>
          <w:szCs w:val="32"/>
          <w:highlight w:val="none"/>
          <w:u w:val="none" w:color="auto"/>
          <w:lang w:val="en-US" w:eastAsia="zh-CN" w:bidi="ar-SA"/>
        </w:rPr>
        <w:t>农村低保家庭每年增加910元取暖补贴，城乡居民养老保险集体补助试点政策覆盖43个行政村、2016人，“两项政策”衔接并轨试点工作获省民政厅通报表扬。我市连续六届获评“全国双拥模范城”。</w:t>
      </w:r>
    </w:p>
    <w:p w14:paraId="459CE0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u w:val="none" w:color="auto"/>
          <w:rtl w:val="0"/>
          <w:lang w:val="en-US" w:eastAsia="zh-CN"/>
          <w:woUserID w:val="1"/>
        </w:rPr>
      </w:pPr>
      <w:r>
        <w:rPr>
          <w:rFonts w:hint="default" w:ascii="Times New Roman" w:hAnsi="Times New Roman" w:eastAsia="楷体_GB2312" w:cs="Times New Roman"/>
          <w:b/>
          <w:bCs/>
          <w:color w:val="auto"/>
          <w:sz w:val="32"/>
          <w:szCs w:val="32"/>
          <w:highlight w:val="none"/>
          <w:u w:val="none" w:color="auto"/>
          <w:lang w:val="en-US" w:eastAsia="zh-CN"/>
        </w:rPr>
        <w:t>(</w:t>
      </w:r>
      <w:r>
        <w:rPr>
          <w:rFonts w:hint="default" w:ascii="Times New Roman" w:hAnsi="Times New Roman" w:eastAsia="楷体_GB2312" w:cs="Times New Roman"/>
          <w:b/>
          <w:bCs/>
          <w:color w:val="auto"/>
          <w:sz w:val="32"/>
          <w:szCs w:val="32"/>
          <w:highlight w:val="none"/>
          <w:u w:val="none" w:color="auto"/>
          <w:lang w:eastAsia="zh-CN"/>
        </w:rPr>
        <w:t>七)社会大局和谐安定。</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深化开展安全生产治本攻坚三年行动，引入专业力量开展电气线路排查检测，精准消除安全隐患1.44万处，实现全市安全生产事故“零发生”。</w:t>
      </w:r>
      <w:r>
        <w:rPr>
          <w:rFonts w:hint="default" w:ascii="Times New Roman" w:hAnsi="Times New Roman" w:eastAsia="仿宋_GB2312" w:cs="Times New Roman"/>
          <w:bCs/>
          <w:color w:val="auto"/>
          <w:spacing w:val="-2"/>
          <w:kern w:val="2"/>
          <w:sz w:val="32"/>
          <w:szCs w:val="32"/>
          <w:highlight w:val="none"/>
          <w:u w:val="none" w:color="auto"/>
          <w:lang w:val="en-US" w:eastAsia="zh-CN" w:bidi="ar-SA"/>
        </w:rPr>
        <w:t>我市入选2025年全国综合减灾示范县创建单位名单。</w:t>
      </w:r>
      <w:r>
        <w:rPr>
          <w:rFonts w:hint="default" w:ascii="Times New Roman" w:hAnsi="Times New Roman" w:eastAsia="仿宋_GB2312" w:cs="Times New Roman"/>
          <w:bCs/>
          <w:color w:val="auto"/>
          <w:spacing w:val="-2"/>
          <w:kern w:val="2"/>
          <w:sz w:val="32"/>
          <w:szCs w:val="32"/>
          <w:highlight w:val="none"/>
          <w:u w:val="none" w:color="auto"/>
          <w:rtl w:val="0"/>
          <w:lang w:val="en-US" w:eastAsia="zh-CN" w:bidi="ar-SA"/>
        </w:rPr>
        <w:t>应急管理局、</w:t>
      </w:r>
      <w:r>
        <w:rPr>
          <w:rFonts w:hint="default" w:ascii="Times New Roman" w:hAnsi="Times New Roman" w:eastAsia="仿宋_GB2312" w:cs="Times New Roman"/>
          <w:color w:val="auto"/>
          <w:sz w:val="32"/>
          <w:szCs w:val="32"/>
          <w:highlight w:val="none"/>
          <w:u w:val="none" w:color="auto"/>
          <w:lang w:val="en-US" w:eastAsia="zh-CN"/>
        </w:rPr>
        <w:t>兴华街道</w:t>
      </w:r>
      <w:r>
        <w:rPr>
          <w:rFonts w:hint="default" w:ascii="Times New Roman" w:hAnsi="Times New Roman" w:eastAsia="仿宋_GB2312" w:cs="Times New Roman"/>
          <w:bCs/>
          <w:color w:val="auto"/>
          <w:spacing w:val="-2"/>
          <w:kern w:val="2"/>
          <w:sz w:val="32"/>
          <w:szCs w:val="32"/>
          <w:highlight w:val="none"/>
          <w:u w:val="none" w:color="auto"/>
          <w:rtl w:val="0"/>
          <w:lang w:val="en-US" w:eastAsia="zh-CN" w:bidi="ar-SA"/>
        </w:rPr>
        <w:t>避险案例获应急管理部通报表扬。</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rtl w:val="0"/>
          <w:lang w:val="en-US" w:eastAsia="zh-CN" w:bidi="ar"/>
        </w:rPr>
        <w:t>深入实施</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信访积案化解攻坚行动，</w:t>
      </w:r>
      <w:r>
        <w:rPr>
          <w:rFonts w:hint="default" w:ascii="Times New Roman" w:hAnsi="Times New Roman" w:eastAsia="仿宋_GB2312" w:cs="Times New Roman"/>
          <w:b w:val="0"/>
          <w:bCs w:val="0"/>
          <w:color w:val="auto"/>
          <w:sz w:val="32"/>
          <w:szCs w:val="32"/>
          <w:highlight w:val="none"/>
          <w:u w:val="none" w:color="auto"/>
          <w:lang w:val="en-US" w:eastAsia="zh-CN"/>
        </w:rPr>
        <w:t>化解历史积案71件、化解率达60.1%，育才书香苑等小区历史遗留办证难问题得到有效解决，市信访局获评全省信访系统先进集体。“城乡联治·村社共管”</w:t>
      </w:r>
      <w:r>
        <w:rPr>
          <w:rFonts w:hint="default" w:ascii="Times New Roman" w:hAnsi="Times New Roman" w:eastAsia="仿宋_GB2312" w:cs="Times New Roman"/>
          <w:b w:val="0"/>
          <w:bCs w:val="0"/>
          <w:color w:val="auto"/>
          <w:sz w:val="32"/>
          <w:szCs w:val="32"/>
          <w:highlight w:val="none"/>
          <w:u w:val="none" w:color="auto"/>
          <w:rtl w:val="0"/>
          <w:lang w:val="en-US" w:eastAsia="zh-CN"/>
        </w:rPr>
        <w:t>工作经验在《中国组织人事报》刊发报道。</w:t>
      </w:r>
      <w:r>
        <w:rPr>
          <w:rFonts w:hint="default" w:ascii="Times New Roman" w:hAnsi="Times New Roman" w:eastAsia="仿宋_GB2312" w:cs="Times New Roman"/>
          <w:b w:val="0"/>
          <w:bCs w:val="0"/>
          <w:color w:val="auto"/>
          <w:sz w:val="32"/>
          <w:szCs w:val="32"/>
          <w:highlight w:val="none"/>
          <w:u w:val="none" w:color="auto"/>
          <w:lang w:val="en-US" w:eastAsia="zh-CN"/>
        </w:rPr>
        <w:t>综治中心建成投用，创新“法律援助+人民调解”、“助企警官”机制，</w:t>
      </w:r>
      <w:r>
        <w:rPr>
          <w:rFonts w:hint="default" w:ascii="Times New Roman" w:hAnsi="Times New Roman" w:eastAsia="仿宋_GB2312" w:cs="Times New Roman"/>
          <w:bCs/>
          <w:color w:val="auto"/>
          <w:spacing w:val="-2"/>
          <w:kern w:val="2"/>
          <w:sz w:val="32"/>
          <w:szCs w:val="32"/>
          <w:highlight w:val="none"/>
          <w:u w:val="none" w:color="auto"/>
          <w:lang w:val="en-US" w:eastAsia="zh-CN" w:bidi="ar-SA"/>
        </w:rPr>
        <w:t>调处基层矛盾纠纷2200余件</w:t>
      </w:r>
      <w:r>
        <w:rPr>
          <w:rFonts w:hint="default" w:ascii="Times New Roman" w:hAnsi="Times New Roman" w:eastAsia="仿宋_GB2312" w:cs="Times New Roman"/>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woUserID w:val="1"/>
        </w:rPr>
        <w:t>升级改造公安局情报指挥中心，</w:t>
      </w:r>
      <w:r>
        <w:rPr>
          <w:rFonts w:hint="default" w:ascii="Times New Roman" w:hAnsi="Times New Roman" w:eastAsia="仿宋_GB2312" w:cs="Times New Roman"/>
          <w:bCs/>
          <w:color w:val="auto"/>
          <w:spacing w:val="-2"/>
          <w:kern w:val="2"/>
          <w:sz w:val="32"/>
          <w:szCs w:val="32"/>
          <w:highlight w:val="none"/>
          <w:u w:val="none" w:color="auto"/>
          <w:lang w:val="en-US" w:eastAsia="zh-CN" w:bidi="ar-SA"/>
        </w:rPr>
        <w:t>组建公安侦查中心、警航中队，创新“</w:t>
      </w:r>
      <w:r>
        <w:rPr>
          <w:rFonts w:hint="default" w:ascii="Times New Roman" w:hAnsi="Times New Roman" w:eastAsia="仿宋_GB2312" w:cs="Times New Roman"/>
          <w:b w:val="0"/>
          <w:bCs w:val="0"/>
          <w:color w:val="auto"/>
          <w:sz w:val="32"/>
          <w:szCs w:val="32"/>
          <w:highlight w:val="none"/>
          <w:u w:val="none" w:color="auto"/>
          <w:lang w:val="en-US" w:eastAsia="zh-CN"/>
          <w:woUserID w:val="1"/>
        </w:rPr>
        <w:t>3+N</w:t>
      </w:r>
      <w:r>
        <w:rPr>
          <w:rFonts w:hint="default" w:ascii="Times New Roman" w:hAnsi="Times New Roman" w:eastAsia="仿宋_GB2312" w:cs="Times New Roman"/>
          <w:bCs/>
          <w:color w:val="auto"/>
          <w:spacing w:val="-2"/>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sz w:val="32"/>
          <w:szCs w:val="32"/>
          <w:highlight w:val="none"/>
          <w:u w:val="none" w:color="auto"/>
          <w:lang w:val="en-US" w:eastAsia="zh-CN"/>
          <w:woUserID w:val="1"/>
        </w:rPr>
        <w:t>合成作战模式，</w:t>
      </w:r>
      <w:r>
        <w:rPr>
          <w:rFonts w:hint="default" w:ascii="Times New Roman" w:hAnsi="Times New Roman" w:eastAsia="仿宋_GB2312" w:cs="Times New Roman"/>
          <w:b w:val="0"/>
          <w:bCs w:val="0"/>
          <w:color w:val="auto"/>
          <w:sz w:val="32"/>
          <w:szCs w:val="32"/>
          <w:highlight w:val="none"/>
          <w:u w:val="none" w:color="auto"/>
          <w:lang w:val="en-US" w:eastAsia="zh-CN"/>
        </w:rPr>
        <w:t>侦破各类案件255件、追回群众损失270万元，</w:t>
      </w:r>
      <w:r>
        <w:rPr>
          <w:rFonts w:hint="default" w:ascii="Times New Roman" w:hAnsi="Times New Roman" w:eastAsia="仿宋_GB2312" w:cs="Times New Roman"/>
          <w:bCs/>
          <w:color w:val="auto"/>
          <w:spacing w:val="-2"/>
          <w:kern w:val="2"/>
          <w:sz w:val="32"/>
          <w:szCs w:val="32"/>
          <w:highlight w:val="none"/>
          <w:u w:val="none" w:color="auto"/>
          <w:lang w:val="en-US" w:eastAsia="zh-CN" w:bidi="ar-SA"/>
        </w:rPr>
        <w:t>全市刑事、治安案件数分别下降28.8%、36.5%</w:t>
      </w:r>
      <w:r>
        <w:rPr>
          <w:rFonts w:hint="default" w:ascii="Times New Roman" w:hAnsi="Times New Roman" w:eastAsia="仿宋_GB2312" w:cs="Times New Roman"/>
          <w:b w:val="0"/>
          <w:bCs w:val="0"/>
          <w:color w:val="auto"/>
          <w:sz w:val="32"/>
          <w:szCs w:val="32"/>
          <w:highlight w:val="none"/>
          <w:u w:val="none" w:color="auto"/>
          <w:lang w:val="en-US" w:eastAsia="zh-CN"/>
          <w:woUserID w:val="1"/>
        </w:rPr>
        <w:t>。</w:t>
      </w:r>
      <w:r>
        <w:rPr>
          <w:rFonts w:hint="default" w:ascii="Times New Roman" w:hAnsi="Times New Roman" w:eastAsia="仿宋_GB2312" w:cs="Times New Roman"/>
          <w:b w:val="0"/>
          <w:bCs w:val="0"/>
          <w:color w:val="auto"/>
          <w:sz w:val="32"/>
          <w:szCs w:val="32"/>
          <w:highlight w:val="none"/>
          <w:u w:val="none" w:color="auto"/>
          <w:rtl w:val="0"/>
          <w:lang w:val="en-US" w:eastAsia="zh-CN"/>
          <w:woUserID w:val="1"/>
        </w:rPr>
        <w:t>深化“同江模式”党政军警民“五位一体”强边固防机制，征兵工作质效和国防动员能力得到持续提升。</w:t>
      </w:r>
    </w:p>
    <w:p w14:paraId="6ABA95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rtl w:val="0"/>
          <w:lang w:val="en-US" w:eastAsia="zh-CN"/>
        </w:rPr>
        <w:t>(八)</w:t>
      </w:r>
      <w:r>
        <w:rPr>
          <w:rFonts w:hint="default" w:ascii="Times New Roman" w:hAnsi="Times New Roman" w:eastAsia="楷体_GB2312" w:cs="Times New Roman"/>
          <w:b/>
          <w:bCs/>
          <w:color w:val="auto"/>
          <w:sz w:val="32"/>
          <w:szCs w:val="32"/>
          <w:highlight w:val="none"/>
          <w:u w:val="none" w:color="auto"/>
          <w:lang w:val="en-US" w:eastAsia="zh-CN"/>
        </w:rPr>
        <w:t>政府建设纵深推进。</w:t>
      </w:r>
      <w:r>
        <w:rPr>
          <w:rFonts w:hint="default" w:ascii="Times New Roman" w:hAnsi="Times New Roman" w:eastAsia="仿宋_GB2312" w:cs="Times New Roman"/>
          <w:b/>
          <w:bCs/>
          <w:color w:val="auto"/>
          <w:sz w:val="32"/>
          <w:szCs w:val="32"/>
          <w:highlight w:val="none"/>
          <w:u w:val="none" w:color="auto"/>
          <w:lang w:val="en-US" w:eastAsia="zh-CN"/>
        </w:rPr>
        <w:t>依法履职担当，</w:t>
      </w:r>
      <w:r>
        <w:rPr>
          <w:rFonts w:hint="default" w:ascii="Times New Roman" w:hAnsi="Times New Roman" w:eastAsia="仿宋_GB2312" w:cs="Times New Roman"/>
          <w:color w:val="auto"/>
          <w:sz w:val="32"/>
          <w:szCs w:val="32"/>
          <w:highlight w:val="none"/>
          <w:u w:val="none" w:color="auto"/>
          <w:lang w:val="en-US" w:eastAsia="zh-CN"/>
        </w:rPr>
        <w:t>严格执行重大行政决策程序，强化重点项目全过程审计，全面落实法律顾问制度，行政行为更加规范。自觉接受社会各界监督，全年办理人大代表建议和政协委员提案106件，办复率100%。畅通政民互通渠道，主动公开政务信息1.2万余条。</w:t>
      </w:r>
      <w:r>
        <w:rPr>
          <w:rFonts w:hint="default" w:ascii="Times New Roman" w:hAnsi="Times New Roman" w:eastAsia="仿宋_GB2312" w:cs="Times New Roman"/>
          <w:b/>
          <w:bCs/>
          <w:color w:val="auto"/>
          <w:sz w:val="32"/>
          <w:szCs w:val="32"/>
          <w:highlight w:val="none"/>
          <w:u w:val="none" w:color="auto"/>
          <w:lang w:val="en-US" w:eastAsia="zh-CN"/>
        </w:rPr>
        <w:t>深化改革赋能，</w:t>
      </w:r>
      <w:r>
        <w:rPr>
          <w:rFonts w:hint="default" w:ascii="Times New Roman" w:hAnsi="Times New Roman" w:eastAsia="仿宋_GB2312" w:cs="Times New Roman"/>
          <w:b w:val="0"/>
          <w:bCs/>
          <w:color w:val="auto"/>
          <w:kern w:val="21"/>
          <w:sz w:val="32"/>
          <w:szCs w:val="32"/>
          <w:highlight w:val="none"/>
          <w:u w:val="none" w:color="auto"/>
          <w:lang w:val="en-US" w:eastAsia="zh-CN" w:bidi="ar-SA"/>
        </w:rPr>
        <w:t>新成立国有资产综合服务中心，完成国有资产资源“起底式”清查，盘活划转资产553处。优化重组4家市属国有企业，国企营业收入稳步提升。</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深化全省“集体资源智慧核查”试点工作，新核查各类资源101.5万亩，村集体资源“家底”更加清晰。</w:t>
      </w:r>
      <w:r>
        <w:rPr>
          <w:rFonts w:hint="default" w:ascii="Times New Roman" w:hAnsi="Times New Roman" w:eastAsia="仿宋_GB2312" w:cs="Times New Roman"/>
          <w:b w:val="0"/>
          <w:bCs/>
          <w:color w:val="auto"/>
          <w:kern w:val="21"/>
          <w:sz w:val="32"/>
          <w:szCs w:val="32"/>
          <w:highlight w:val="none"/>
          <w:u w:val="none" w:color="auto"/>
          <w:lang w:val="en-US" w:eastAsia="zh-CN" w:bidi="ar-SA"/>
        </w:rPr>
        <w:t>加快推进经开区“管委会+公司”改革。</w:t>
      </w:r>
      <w:r>
        <w:rPr>
          <w:rFonts w:hint="default" w:ascii="Times New Roman" w:hAnsi="Times New Roman" w:eastAsia="仿宋_GB2312" w:cs="Times New Roman"/>
          <w:color w:val="auto"/>
          <w:spacing w:val="0"/>
          <w:kern w:val="2"/>
          <w:sz w:val="32"/>
          <w:szCs w:val="32"/>
          <w:highlight w:val="none"/>
          <w:u w:val="none" w:color="auto"/>
          <w:lang w:val="en-US" w:eastAsia="zh-CN" w:bidi="ar-SA"/>
        </w:rPr>
        <w:t>巩固农垦社区全面移交成果，6个农垦社区管委会各项工作全面启动。</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rtl w:val="0"/>
          <w:lang w:val="en-US" w:eastAsia="zh-CN" w:bidi="ar"/>
        </w:rPr>
        <w:t>完成乡镇专职消防队伍管理体制改革。</w:t>
      </w:r>
      <w:r>
        <w:rPr>
          <w:rFonts w:hint="default" w:ascii="Times New Roman" w:hAnsi="Times New Roman" w:eastAsia="仿宋_GB2312" w:cs="Times New Roman"/>
          <w:b w:val="0"/>
          <w:bCs w:val="0"/>
          <w:color w:val="auto"/>
          <w:sz w:val="32"/>
          <w:szCs w:val="32"/>
          <w:highlight w:val="none"/>
          <w:u w:val="none" w:color="auto"/>
          <w:lang w:val="en-US" w:eastAsia="zh-CN"/>
        </w:rPr>
        <w:t>1%人口抽样调查经验在全省推广。</w:t>
      </w:r>
      <w:r>
        <w:rPr>
          <w:rFonts w:hint="default" w:ascii="Times New Roman" w:hAnsi="Times New Roman" w:eastAsia="仿宋_GB2312" w:cs="Times New Roman"/>
          <w:b/>
          <w:bCs/>
          <w:color w:val="auto"/>
          <w:sz w:val="32"/>
          <w:szCs w:val="32"/>
          <w:highlight w:val="none"/>
          <w:u w:val="none" w:color="auto"/>
          <w:lang w:val="en-US" w:eastAsia="zh-CN"/>
        </w:rPr>
        <w:t>锤炼实干作风，</w:t>
      </w:r>
      <w:r>
        <w:rPr>
          <w:rFonts w:hint="default" w:ascii="Times New Roman" w:hAnsi="Times New Roman" w:eastAsia="仿宋_GB2312" w:cs="Times New Roman"/>
          <w:color w:val="auto"/>
          <w:sz w:val="32"/>
          <w:szCs w:val="32"/>
          <w:highlight w:val="none"/>
          <w:u w:val="none" w:color="auto"/>
          <w:lang w:val="en-US" w:eastAsia="zh-CN"/>
        </w:rPr>
        <w:t>坚持“过紧日子”思想，“三公”经费压减8.7%，</w:t>
      </w:r>
      <w:r>
        <w:rPr>
          <w:rFonts w:hint="default" w:ascii="Times New Roman" w:hAnsi="Times New Roman" w:eastAsia="仿宋_GB2312" w:cs="Times New Roman"/>
          <w:b w:val="0"/>
          <w:bCs w:val="0"/>
          <w:color w:val="auto"/>
          <w:sz w:val="32"/>
          <w:szCs w:val="32"/>
          <w:highlight w:val="none"/>
          <w:u w:val="none" w:color="auto"/>
          <w:rtl w:val="0"/>
          <w:lang w:val="en-US" w:eastAsia="zh-CN"/>
        </w:rPr>
        <w:t>市机关事务中心获评全国“节约型公共机构示范单位”</w:t>
      </w:r>
      <w:r>
        <w:rPr>
          <w:rFonts w:hint="default" w:ascii="Times New Roman" w:hAnsi="Times New Roman" w:eastAsia="仿宋_GB2312" w:cs="Times New Roman"/>
          <w:color w:val="auto"/>
          <w:sz w:val="32"/>
          <w:szCs w:val="32"/>
          <w:highlight w:val="none"/>
          <w:u w:val="none" w:color="auto"/>
          <w:lang w:val="en-US" w:eastAsia="zh-CN"/>
        </w:rPr>
        <w:t>。扎实开展深入贯彻中央八项规定精神学习教育和群腐集中整治工作，驰而不息纠治“四风”，开短会讲短话、办实事求实效、敢担当善作为成为政府工作新常态。</w:t>
      </w:r>
    </w:p>
    <w:p w14:paraId="0F79B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lang w:val="en-US" w:eastAsia="zh-CN"/>
        </w:rPr>
        <w:t>各位代表，2025年是“十四五”收官之年。过去五年，政府系统在市委的坚强领导下，团结带领全市人民勇毅笃行、苦干实干，解决了一批群众期盼的难事，办成了一批事关全局的大事，办好了一批群众点赞的实事，荣获全国民族团结进步示范区、全国休闲农业重点县等诸多殊荣，经济社会发展取得显著成就。</w:t>
      </w:r>
    </w:p>
    <w:p w14:paraId="0A2616C6">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五年奋进，经济综合实力迈上新台阶。</w:t>
      </w:r>
      <w:r>
        <w:rPr>
          <w:rFonts w:hint="default" w:ascii="Times New Roman" w:hAnsi="Times New Roman" w:eastAsia="仿宋_GB2312" w:cs="Times New Roman"/>
          <w:color w:val="auto"/>
          <w:kern w:val="2"/>
          <w:sz w:val="32"/>
          <w:szCs w:val="32"/>
          <w:highlight w:val="none"/>
          <w:u w:val="none" w:color="auto"/>
          <w:lang w:val="en-US" w:eastAsia="zh-CN" w:bidi="ar-SA"/>
        </w:rPr>
        <w:t>地区生产总值突破120亿元，年均增速保持在5.8%以上。产业基石更加稳固，米高钾肥加工储备基地等97个产业项目相继落地，跨境直播运营等一批重点项目相继投产，全市规上工业企业净增16户、产值实现111亿元。文旅商贸融合发展，同江特色IP影响力持续提升，三江口、街津口、八岔3大重点旅游区域业态日益丰富，赫哲文创、鳇鱼美食等特色门店推陈出新，第三产业比重达37.1%，提高6个百分点。</w:t>
      </w:r>
    </w:p>
    <w:p w14:paraId="441FB24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五年奋进，对外开放能级实现新跃升。</w:t>
      </w:r>
      <w:r>
        <w:rPr>
          <w:rFonts w:hint="default" w:ascii="Times New Roman" w:hAnsi="Times New Roman" w:eastAsia="仿宋_GB2312" w:cs="Times New Roman"/>
          <w:color w:val="auto"/>
          <w:kern w:val="2"/>
          <w:sz w:val="32"/>
          <w:szCs w:val="32"/>
          <w:highlight w:val="none"/>
          <w:u w:val="none" w:color="auto"/>
          <w:lang w:val="en-US" w:eastAsia="zh-CN" w:bidi="ar-SA"/>
        </w:rPr>
        <w:t>攻坚推进19年的同江中俄黑龙江铁路大桥通车运营，临时开放35年的同江港东部作业区通过国家验收，铁路口岸货运量累计突破1500万吨，我市成为国家“一带一路”六大重点口岸城市之一。成功获批国家跨境电商综试区等开放平台，跨境电商、互市贸易、保税贸易等业态加快发展，进出口贸易额是五年前的2.24倍。与俄罗斯、白俄罗斯及“一带一路”沿线城市深化互联合作，南联北开“大通道”全面贯通。</w:t>
      </w:r>
    </w:p>
    <w:p w14:paraId="31D497F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pPr>
      <w:r>
        <w:rPr>
          <w:rFonts w:hint="default" w:ascii="Times New Roman" w:hAnsi="Times New Roman" w:eastAsia="楷体_GB2312" w:cs="Times New Roman"/>
          <w:b/>
          <w:bCs/>
          <w:color w:val="auto"/>
          <w:kern w:val="2"/>
          <w:sz w:val="32"/>
          <w:szCs w:val="32"/>
          <w:highlight w:val="none"/>
          <w:u w:val="none" w:color="auto"/>
          <w:lang w:val="en-US" w:eastAsia="zh-CN" w:bidi="ar-SA"/>
        </w:rPr>
        <w:t>五年奋进，</w:t>
      </w:r>
      <w:r>
        <w:rPr>
          <w:rFonts w:hint="default" w:ascii="Times New Roman" w:hAnsi="Times New Roman" w:eastAsia="楷体_GB2312" w:cs="Times New Roman"/>
          <w:b/>
          <w:color w:val="auto"/>
          <w:sz w:val="32"/>
          <w:szCs w:val="32"/>
          <w:highlight w:val="none"/>
          <w:u w:val="none" w:color="auto"/>
        </w:rPr>
        <w:t>民生福祉保障达到新水平。</w:t>
      </w:r>
      <w:r>
        <w:rPr>
          <w:rFonts w:hint="default" w:ascii="Times New Roman" w:hAnsi="Times New Roman" w:eastAsia="仿宋_GB2312" w:cs="Times New Roman"/>
          <w:color w:val="auto"/>
          <w:kern w:val="2"/>
          <w:sz w:val="32"/>
          <w:szCs w:val="32"/>
          <w:highlight w:val="none"/>
          <w:u w:val="none" w:color="auto"/>
          <w:lang w:val="en-US" w:eastAsia="zh-CN" w:bidi="ar-SA"/>
        </w:rPr>
        <w:t>把“执政为民”理念融入日常工作，持续推动政府职能从“管理型”向“服务型”转变，</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累计投入民生资金152.06亿元，高标准完成民生实事104件，系统实施人民医院第二院区、城市居家社区养老服务中心、中小学校基础设施升级等一系列民生工程，创新推出生育补贴、住房租赁补贴等一揽子惠民政策，“一老一小”、多孩家庭、困难群体等重点人群保障更加有力，就业、教育、医疗、养老等公共服务体系更加健全。</w:t>
      </w:r>
    </w:p>
    <w:p w14:paraId="2FC3E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各位代表，上下同欲者胜，风雨同舟者兴！过去五年，大家砥砺奋进、耕耘奉献，在项目建设、民生保障等重点工作中展现了担当作为、提升了能力作风，收获了市民群众的理解认可、支持点赞，铸就了欣欣向荣的同江。在此，我代表市人民政府，向每一位辛勤付出的奋斗者致敬！</w:t>
      </w:r>
    </w:p>
    <w:p w14:paraId="3A69B9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看到成绩的同时，我们也要清醒地认识到发展中还存在很多困难和问题：</w:t>
      </w:r>
      <w:r>
        <w:rPr>
          <w:rFonts w:hint="default" w:ascii="Times New Roman" w:hAnsi="Times New Roman" w:eastAsia="仿宋_GB2312" w:cs="Times New Roman"/>
          <w:b/>
          <w:bCs/>
          <w:color w:val="auto"/>
          <w:sz w:val="32"/>
          <w:szCs w:val="32"/>
          <w:highlight w:val="none"/>
          <w:u w:val="none" w:color="auto"/>
          <w:lang w:val="en-US" w:eastAsia="zh-CN"/>
        </w:rPr>
        <w:t>一是</w:t>
      </w:r>
      <w:r>
        <w:rPr>
          <w:rFonts w:hint="default" w:ascii="Times New Roman" w:hAnsi="Times New Roman" w:eastAsia="仿宋_GB2312" w:cs="Times New Roman"/>
          <w:color w:val="auto"/>
          <w:sz w:val="32"/>
          <w:szCs w:val="32"/>
          <w:highlight w:val="none"/>
          <w:u w:val="none" w:color="auto"/>
          <w:lang w:val="en-US" w:eastAsia="zh-CN"/>
        </w:rPr>
        <w:t>经济总量相对较小，“农头工尾”“粮头食尾”破题不深，文旅产业激发消费动能不足，三次产业结构不优，市场主体活力有待进一步提升。</w:t>
      </w:r>
      <w:r>
        <w:rPr>
          <w:rFonts w:hint="default" w:ascii="Times New Roman" w:hAnsi="Times New Roman" w:eastAsia="仿宋_GB2312" w:cs="Times New Roman"/>
          <w:b/>
          <w:bCs/>
          <w:color w:val="auto"/>
          <w:sz w:val="32"/>
          <w:szCs w:val="32"/>
          <w:highlight w:val="none"/>
          <w:u w:val="none" w:color="auto"/>
          <w:lang w:val="en-US" w:eastAsia="zh-CN"/>
        </w:rPr>
        <w:t>二是</w:t>
      </w:r>
      <w:r>
        <w:rPr>
          <w:rFonts w:hint="default" w:ascii="Times New Roman" w:hAnsi="Times New Roman" w:eastAsia="仿宋_GB2312" w:cs="Times New Roman"/>
          <w:color w:val="auto"/>
          <w:sz w:val="32"/>
          <w:szCs w:val="32"/>
          <w:highlight w:val="none"/>
          <w:u w:val="none" w:color="auto"/>
          <w:lang w:val="en-US" w:eastAsia="zh-CN"/>
        </w:rPr>
        <w:t>新旧动能转换任务艰巨，传统产业转型升级亟待提速，战略性新兴产业还未形成有效支撑。</w:t>
      </w:r>
      <w:r>
        <w:rPr>
          <w:rFonts w:hint="default" w:ascii="Times New Roman" w:hAnsi="Times New Roman" w:eastAsia="仿宋_GB2312" w:cs="Times New Roman"/>
          <w:b/>
          <w:bCs/>
          <w:color w:val="auto"/>
          <w:sz w:val="32"/>
          <w:szCs w:val="32"/>
          <w:highlight w:val="none"/>
          <w:u w:val="none" w:color="auto"/>
          <w:lang w:val="en-US" w:eastAsia="zh-CN"/>
        </w:rPr>
        <w:t>三是</w:t>
      </w:r>
      <w:r>
        <w:rPr>
          <w:rFonts w:hint="default" w:ascii="Times New Roman" w:hAnsi="Times New Roman" w:eastAsia="仿宋_GB2312" w:cs="Times New Roman"/>
          <w:color w:val="auto"/>
          <w:sz w:val="32"/>
          <w:szCs w:val="32"/>
          <w:highlight w:val="none"/>
          <w:u w:val="none" w:color="auto"/>
          <w:lang w:val="en-US" w:eastAsia="zh-CN"/>
        </w:rPr>
        <w:t>打造“向北开放新高地”能级不足，口岸运能未充分释放，跨境产业仍处于起步阶段，本地经贸企业规模有限，外向型经济集聚效应尚未凸显，营商环境对标国际一流还有差距。</w:t>
      </w:r>
      <w:r>
        <w:rPr>
          <w:rFonts w:hint="default" w:ascii="Times New Roman" w:hAnsi="Times New Roman" w:eastAsia="仿宋_GB2312" w:cs="Times New Roman"/>
          <w:b/>
          <w:bCs/>
          <w:color w:val="auto"/>
          <w:sz w:val="32"/>
          <w:szCs w:val="32"/>
          <w:highlight w:val="none"/>
          <w:u w:val="none" w:color="auto"/>
          <w:lang w:val="en-US" w:eastAsia="zh-CN"/>
        </w:rPr>
        <w:t>四是</w:t>
      </w:r>
      <w:r>
        <w:rPr>
          <w:rFonts w:hint="default" w:ascii="Times New Roman" w:hAnsi="Times New Roman" w:eastAsia="仿宋_GB2312" w:cs="Times New Roman"/>
          <w:color w:val="auto"/>
          <w:sz w:val="32"/>
          <w:szCs w:val="32"/>
          <w:highlight w:val="none"/>
          <w:u w:val="none" w:color="auto"/>
          <w:lang w:val="en-US" w:eastAsia="zh-CN"/>
        </w:rPr>
        <w:t>民生领域仍有短板，私搭乱建、物业服务不优等问题依然突出，畜禽粪污、建筑垃圾等环保问题亟待系统治理，教育、医疗、养老等公共服务供给与群众期待还有差距。</w:t>
      </w:r>
      <w:r>
        <w:rPr>
          <w:rFonts w:hint="default" w:ascii="Times New Roman" w:hAnsi="Times New Roman" w:eastAsia="仿宋_GB2312" w:cs="Times New Roman"/>
          <w:b/>
          <w:bCs/>
          <w:color w:val="auto"/>
          <w:sz w:val="32"/>
          <w:szCs w:val="32"/>
          <w:highlight w:val="none"/>
          <w:u w:val="none" w:color="auto"/>
          <w:lang w:val="en-US" w:eastAsia="zh-CN"/>
        </w:rPr>
        <w:t>另外，</w:t>
      </w:r>
      <w:r>
        <w:rPr>
          <w:rFonts w:hint="default" w:ascii="Times New Roman" w:hAnsi="Times New Roman" w:eastAsia="仿宋_GB2312" w:cs="Times New Roman"/>
          <w:color w:val="auto"/>
          <w:sz w:val="32"/>
          <w:szCs w:val="32"/>
          <w:highlight w:val="none"/>
          <w:u w:val="none" w:color="auto"/>
          <w:lang w:val="en-US" w:eastAsia="zh-CN"/>
        </w:rPr>
        <w:t>个别干部思想不够解放、进取意识不强，关键岗位“微腐败”时有发生。对此，我们将坚持问题导向、直面困难挑战，以刀刃向内的勇气逐项攻坚，以扎扎实实的工作成效回应群众关切，走好新时代高质量发展“赶考路”。</w:t>
      </w:r>
    </w:p>
    <w:p w14:paraId="0123D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color w:val="auto"/>
          <w:sz w:val="32"/>
          <w:szCs w:val="32"/>
          <w:highlight w:val="none"/>
          <w:u w:val="none" w:color="auto"/>
          <w:lang w:val="en-US" w:eastAsia="zh-CN"/>
        </w:rPr>
      </w:pPr>
      <w:r>
        <w:rPr>
          <w:rFonts w:hint="default" w:ascii="Times New Roman" w:hAnsi="Times New Roman" w:eastAsia="黑体" w:cs="Times New Roman"/>
          <w:b w:val="0"/>
          <w:bCs/>
          <w:color w:val="auto"/>
          <w:sz w:val="32"/>
          <w:szCs w:val="32"/>
          <w:highlight w:val="none"/>
          <w:u w:val="none" w:color="auto"/>
          <w:lang w:val="en-US" w:eastAsia="zh-CN"/>
        </w:rPr>
        <w:t>二、“十五五”时期主要目标任务</w:t>
      </w:r>
    </w:p>
    <w:p w14:paraId="43242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各位代表，“十五五”是我国基本实现社会主义现代化的关键时期，更是政策机遇交织叠加、自身潜力充分释放、综合优势加速转化的黄金时期。我们必须</w:t>
      </w:r>
      <w:r>
        <w:rPr>
          <w:rFonts w:hint="default" w:ascii="Times New Roman" w:hAnsi="Times New Roman" w:eastAsia="仿宋_GB2312" w:cs="Times New Roman"/>
          <w:color w:val="auto"/>
          <w:sz w:val="32"/>
          <w:szCs w:val="32"/>
          <w:highlight w:val="none"/>
          <w:u w:val="none" w:color="auto"/>
          <w:lang w:eastAsia="zh-CN"/>
        </w:rPr>
        <w:t>全面落实上级党委政府和市委的决策部署，</w:t>
      </w:r>
      <w:r>
        <w:rPr>
          <w:rFonts w:hint="default" w:ascii="Times New Roman" w:hAnsi="Times New Roman" w:eastAsia="仿宋_GB2312" w:cs="Times New Roman"/>
          <w:color w:val="auto"/>
          <w:sz w:val="32"/>
          <w:szCs w:val="32"/>
          <w:highlight w:val="none"/>
          <w:u w:val="none" w:color="auto"/>
          <w:lang w:val="en-US" w:eastAsia="zh-CN"/>
        </w:rPr>
        <w:t>坚持以经济建设为中心，以推动高质量发展为主线，以满足人民日益增长的美好生活需要为根本目的，完整准确全面贯彻新发展理念，融入新发展格局，聚力打造“一城四中心”，全力建好“六个同江”，加快构建“5+N”产业体系，全面提升县域经济能级、产业发展质效、开放合作水平、群众幸福指数，在新的起点上推动同江全面振兴、加速崛起。力争到2030年，地区生产总值突破160亿元、年均增长5.5%以上，规上工业增加值年均增长5%以上，固定资产投资年均增长8%以上，社会消费品零售总额年均增长6%以上，一般公共预算收入年均增长6%以上，进出口贸易额年均增长5%以上，基本公共服务均等化水平明显提升，社会治理体系更加完善。</w:t>
      </w:r>
    </w:p>
    <w:p w14:paraId="0C8DD9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楷体_GB2312" w:cs="Times New Roman"/>
          <w:b/>
          <w:color w:val="auto"/>
          <w:sz w:val="32"/>
          <w:szCs w:val="32"/>
          <w:highlight w:val="none"/>
          <w:u w:val="none" w:color="auto"/>
          <w:lang w:val="en-US" w:eastAsia="zh-CN"/>
        </w:rPr>
        <w:t>(一)突出口岸赋能，聚力打造开放的同江。</w:t>
      </w:r>
      <w:r>
        <w:rPr>
          <w:rFonts w:hint="default" w:ascii="Times New Roman" w:hAnsi="Times New Roman" w:eastAsia="仿宋_GB2312" w:cs="Times New Roman"/>
          <w:color w:val="auto"/>
          <w:sz w:val="32"/>
          <w:szCs w:val="32"/>
          <w:highlight w:val="none"/>
          <w:u w:val="none" w:color="auto"/>
          <w:lang w:val="en-US" w:eastAsia="zh-CN"/>
        </w:rPr>
        <w:t>深度</w:t>
      </w:r>
      <w:r>
        <w:rPr>
          <w:rFonts w:hint="default" w:ascii="Times New Roman" w:hAnsi="Times New Roman" w:eastAsia="仿宋_GB2312" w:cs="Times New Roman"/>
          <w:color w:val="auto"/>
          <w:sz w:val="32"/>
          <w:szCs w:val="32"/>
          <w:highlight w:val="none"/>
          <w:u w:val="none" w:color="auto"/>
        </w:rPr>
        <w:t>融入国家“一带一路”战略，推动</w:t>
      </w:r>
      <w:r>
        <w:rPr>
          <w:rFonts w:hint="default" w:ascii="Times New Roman" w:hAnsi="Times New Roman" w:eastAsia="仿宋_GB2312" w:cs="Times New Roman"/>
          <w:color w:val="auto"/>
          <w:sz w:val="32"/>
          <w:szCs w:val="32"/>
          <w:highlight w:val="none"/>
          <w:u w:val="none" w:color="auto"/>
          <w:lang w:val="en-US" w:eastAsia="zh-CN"/>
        </w:rPr>
        <w:t>水铁口岸开放再升级</w:t>
      </w:r>
      <w:r>
        <w:rPr>
          <w:rFonts w:hint="default" w:ascii="Times New Roman" w:hAnsi="Times New Roman" w:eastAsia="仿宋_GB2312" w:cs="Times New Roman"/>
          <w:color w:val="auto"/>
          <w:sz w:val="32"/>
          <w:szCs w:val="32"/>
          <w:highlight w:val="none"/>
          <w:u w:val="none" w:color="auto"/>
        </w:rPr>
        <w:t>，加快</w:t>
      </w:r>
      <w:r>
        <w:rPr>
          <w:rFonts w:hint="default" w:ascii="Times New Roman" w:hAnsi="Times New Roman" w:eastAsia="仿宋_GB2312" w:cs="Times New Roman"/>
          <w:color w:val="auto"/>
          <w:sz w:val="32"/>
          <w:szCs w:val="32"/>
          <w:highlight w:val="none"/>
          <w:u w:val="none" w:color="auto"/>
          <w:lang w:val="en-US" w:eastAsia="zh-CN"/>
        </w:rPr>
        <w:t>大宗物品战略基地、保税仓群、智慧口岸、集疏转运枢纽布局建设，推动基础设施“硬联通”、通关服务“软联通”。建好跨境电商综试区、互市贸易区，积极申创综保区、边合区、跨合区、重点沿边开发开放试验区，加快构建资源集聚的开放平台格局，全力打造“双买双卖”大通道、大平台。</w:t>
      </w:r>
    </w:p>
    <w:p w14:paraId="211250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楷体_GB2312" w:cs="Times New Roman"/>
          <w:b/>
          <w:color w:val="auto"/>
          <w:sz w:val="32"/>
          <w:szCs w:val="32"/>
          <w:highlight w:val="none"/>
          <w:u w:val="none" w:color="auto"/>
          <w:lang w:val="en-US" w:eastAsia="zh-CN"/>
        </w:rPr>
        <w:t>(二)突出对外协作，聚力打造国际的同江。</w:t>
      </w:r>
      <w:r>
        <w:rPr>
          <w:rFonts w:hint="default" w:ascii="Times New Roman" w:hAnsi="Times New Roman" w:eastAsia="仿宋_GB2312" w:cs="Times New Roman"/>
          <w:color w:val="auto"/>
          <w:sz w:val="32"/>
          <w:szCs w:val="32"/>
          <w:highlight w:val="none"/>
          <w:u w:val="none" w:color="auto"/>
          <w:lang w:val="en-US" w:eastAsia="zh-CN"/>
        </w:rPr>
        <w:t>加强跨域合作共建、跨境交往互动，持续扩大国内“一带一路”节点城市、国际欧亚通道友好城市的“朋友圈”，全力打通交流合作“关系网”。培育具有边境口岸特色的现代化产业体系</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val="en-US" w:eastAsia="zh-CN"/>
        </w:rPr>
        <w:t>壮大同江中俄黑龙江铁路大桥“桥头经济区”，着力打造大宗物品进口保税加工、区域物流集散、大宗商品交易、对外服务四大中心。</w:t>
      </w:r>
    </w:p>
    <w:p w14:paraId="20A177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lang w:val="en-US" w:eastAsia="zh-CN"/>
        </w:rPr>
        <w:t>(三)突出活力释放，聚力打造创新的同江。</w:t>
      </w:r>
      <w:r>
        <w:rPr>
          <w:rFonts w:hint="default" w:ascii="Times New Roman" w:hAnsi="Times New Roman" w:eastAsia="仿宋_GB2312" w:cs="Times New Roman"/>
          <w:color w:val="auto"/>
          <w:sz w:val="32"/>
          <w:szCs w:val="32"/>
          <w:highlight w:val="none"/>
          <w:u w:val="none" w:color="auto"/>
          <w:lang w:val="en-US" w:eastAsia="zh-CN"/>
        </w:rPr>
        <w:t>因地制宜发展新质生产力，加快培育战新产业，前瞻布局未来产业，梯度培育创新型企业集群，持续扩大技能型、创新型人才队伍，推动产学研用协同创新发展。深入推进重点领域和关键环节改革，着力营造市场化、法治化、国际化一流营商环境，促进资源要素流动更加高效，助推民营经济活力充分释放。</w:t>
      </w:r>
    </w:p>
    <w:p w14:paraId="71478B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lang w:val="en-US" w:eastAsia="zh-CN"/>
        </w:rPr>
        <w:t>(四)突出绿色发展，聚力打造美丽的同江。</w:t>
      </w:r>
      <w:r>
        <w:rPr>
          <w:rFonts w:hint="default" w:ascii="Times New Roman" w:hAnsi="Times New Roman" w:eastAsia="仿宋_GB2312" w:cs="Times New Roman"/>
          <w:color w:val="auto"/>
          <w:sz w:val="32"/>
          <w:szCs w:val="32"/>
          <w:highlight w:val="none"/>
          <w:u w:val="none" w:color="auto"/>
          <w:lang w:val="en-US" w:eastAsia="zh-CN"/>
        </w:rPr>
        <w:t>一体推进美丽城市、美丽乡村、美丽农场建设，深入实施蓝天、碧水、净土保卫战，大力推动生产生活方式向绿色、低碳、节能全面转型，探索发展循环经济，协同推进降碳、减污、扩绿、增长，加快打造“江清岸绿、生态环保、低碳高效、和谐共生、宜居宜游”的美丽同江，坚决筑牢我国北方重要生态安全屏障。</w:t>
      </w:r>
    </w:p>
    <w:p w14:paraId="0FACAE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楷体_GB2312" w:cs="Times New Roman"/>
          <w:b/>
          <w:bCs/>
          <w:color w:val="auto"/>
          <w:sz w:val="32"/>
          <w:szCs w:val="32"/>
          <w:highlight w:val="none"/>
          <w:u w:val="none" w:color="auto"/>
          <w:lang w:val="en-US" w:eastAsia="zh-CN"/>
        </w:rPr>
        <w:t>(五)突出善治共享，聚力打造文明的同江。</w:t>
      </w:r>
      <w:r>
        <w:rPr>
          <w:rFonts w:hint="default" w:ascii="Times New Roman" w:hAnsi="Times New Roman" w:eastAsia="仿宋_GB2312" w:cs="Times New Roman"/>
          <w:color w:val="auto"/>
          <w:sz w:val="32"/>
          <w:szCs w:val="32"/>
          <w:highlight w:val="none"/>
          <w:u w:val="none" w:color="auto"/>
          <w:lang w:val="en-US" w:eastAsia="zh-CN"/>
        </w:rPr>
        <w:t>深化全国文明城市创建成果，着力加强社会主义核心价值观与铸牢中华民族共同体意识教育，持续提高市民文明素养。推进文化惠民工程，加强赫哲族伊玛堪等非遗文化保护传承，迭代升级沉浸式演艺、创意设计等业态，丰富群众精神文化生活。坚持法治引领，完善矛盾纠纷多元化解体系，提升基层治理效能，营造平安和谐、风清气正的社会环境。</w:t>
      </w:r>
    </w:p>
    <w:p w14:paraId="3BDB45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lang w:val="en-US" w:eastAsia="zh-CN"/>
        </w:rPr>
        <w:t>(六)突出服务为民，聚力打造幸福的同江。</w:t>
      </w:r>
      <w:r>
        <w:rPr>
          <w:rFonts w:hint="default" w:ascii="Times New Roman" w:hAnsi="Times New Roman" w:eastAsia="仿宋_GB2312" w:cs="Times New Roman"/>
          <w:color w:val="auto"/>
          <w:sz w:val="32"/>
          <w:szCs w:val="32"/>
          <w:highlight w:val="none"/>
          <w:u w:val="none" w:color="auto"/>
          <w:lang w:val="en-US" w:eastAsia="zh-CN"/>
        </w:rPr>
        <w:t>坚持人民至上、民生为大，倾心倾力办好惠民实事。坚持就业优先战略，完善就业保障机制和服务体系。提高教育质量，推动义务教育优质均衡发展、职业教育融合发展。深化医药卫生体制改革，推行全方位全周期健康服务，夯实医疗服务保障。积极应对人口老龄化，构建居家社区机构相协调、医养康养相结合的养老服务体系。全面提升社会治安水平，切实增强市民群众获得感、幸福感和安全感。</w:t>
      </w:r>
    </w:p>
    <w:p w14:paraId="094CC47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kern w:val="2"/>
          <w:sz w:val="32"/>
          <w:szCs w:val="32"/>
          <w:highlight w:val="none"/>
          <w:u w:val="none" w:color="auto"/>
          <w:lang w:val="en-US" w:eastAsia="zh-CN" w:bidi="ar-SA"/>
        </w:rPr>
      </w:pPr>
      <w:r>
        <w:rPr>
          <w:rFonts w:hint="default" w:ascii="Times New Roman" w:hAnsi="Times New Roman" w:eastAsia="黑体" w:cs="Times New Roman"/>
          <w:color w:val="auto"/>
          <w:kern w:val="2"/>
          <w:sz w:val="32"/>
          <w:szCs w:val="32"/>
          <w:highlight w:val="none"/>
          <w:u w:val="none" w:color="auto"/>
          <w:lang w:val="en-US" w:eastAsia="zh-CN" w:bidi="ar-SA"/>
        </w:rPr>
        <w:t>三、2026年工作安排</w:t>
      </w:r>
    </w:p>
    <w:p w14:paraId="56923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各位代表，2026年是“十五五”开局之年，做好全年工作意义重大、影响深远。政府工作总的要求是：</w:t>
      </w:r>
      <w:r>
        <w:rPr>
          <w:rFonts w:hint="default" w:ascii="Times New Roman" w:hAnsi="Times New Roman" w:eastAsia="黑体" w:cs="Times New Roman"/>
          <w:color w:val="auto"/>
          <w:kern w:val="2"/>
          <w:sz w:val="32"/>
          <w:szCs w:val="32"/>
          <w:highlight w:val="none"/>
          <w:u w:val="none" w:color="auto"/>
          <w:lang w:val="en-US" w:eastAsia="zh-CN" w:bidi="ar-SA"/>
        </w:rPr>
        <w:t>坚持以习近平新时代中国特色社会主义思想为指导，全面贯彻党的二十大和二十届历次全会精神，认真落实省委十三届九次全会、佳木斯市委十四届九次全会、同江市委九届九次全会精神，牢牢抓住“一带一路”、新时代东北全面振兴、新一轮科技革命和产业变革等政策机遇，更好统筹发展和安全，紧紧围绕“六个同江”建设目标，扎实推进市委“三个牵动工程、六项重点工作”任务，全力构建“5+N”产业体系，以更加开放的思维和国际视野，加快构筑向北开放新高地，确保“十五五”开好局、起好步，奋力谱写中国式现代化同江新篇章。</w:t>
      </w:r>
    </w:p>
    <w:p w14:paraId="276849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主要预期目标为：</w:t>
      </w:r>
      <w:r>
        <w:rPr>
          <w:rFonts w:hint="default" w:ascii="Times New Roman" w:hAnsi="Times New Roman" w:eastAsia="仿宋_GB2312" w:cs="Times New Roman"/>
          <w:color w:val="auto"/>
          <w:kern w:val="2"/>
          <w:sz w:val="32"/>
          <w:szCs w:val="32"/>
          <w:highlight w:val="none"/>
          <w:u w:val="none" w:color="auto"/>
          <w:lang w:val="en-US" w:eastAsia="zh-CN" w:bidi="ar-SA"/>
        </w:rPr>
        <w:t>地区生产总值增长5.5%左右，固定资产投资增长8%以上，一般公共预算收入增长3%以上，规上工业增加值增长6%以上，社会消费品零售总额增长6%以上，进出口贸易额增长5%以上，城乡居民人均可支配收入与经济增长同步。</w:t>
      </w:r>
    </w:p>
    <w:p w14:paraId="69A56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为实现上述目标，我们将全力抓好7项工作。</w:t>
      </w:r>
    </w:p>
    <w:p w14:paraId="78100E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lang w:val="en-US" w:eastAsia="zh-CN"/>
        </w:rPr>
        <w:t>(一)坚持以更大力度提升开放能级。</w:t>
      </w:r>
      <w:r>
        <w:rPr>
          <w:rFonts w:hint="default" w:ascii="Times New Roman" w:hAnsi="Times New Roman" w:eastAsia="仿宋_GB2312" w:cs="Times New Roman"/>
          <w:color w:val="auto"/>
          <w:sz w:val="32"/>
          <w:szCs w:val="32"/>
          <w:highlight w:val="none"/>
          <w:u w:val="none" w:color="auto"/>
          <w:lang w:val="en-US" w:eastAsia="zh-CN"/>
        </w:rPr>
        <w:t>深入实施以发展口岸经济为牵动的工贸提质工程，深挖两种资源、深耕两个市场，加快构建产业贸易联动、内外循环畅通的开放新格局。</w:t>
      </w:r>
      <w:r>
        <w:rPr>
          <w:rFonts w:hint="default" w:ascii="Times New Roman" w:hAnsi="Times New Roman" w:eastAsia="仿宋_GB2312" w:cs="Times New Roman"/>
          <w:b/>
          <w:bCs/>
          <w:color w:val="auto"/>
          <w:kern w:val="2"/>
          <w:sz w:val="32"/>
          <w:szCs w:val="32"/>
          <w:highlight w:val="none"/>
          <w:u w:val="none" w:color="auto"/>
          <w:lang w:val="en-US" w:eastAsia="zh-CN" w:bidi="ar-SA"/>
        </w:rPr>
        <w:t>加快基础设施建设。</w:t>
      </w:r>
      <w:r>
        <w:rPr>
          <w:rFonts w:hint="default" w:ascii="Times New Roman" w:hAnsi="Times New Roman" w:eastAsia="仿宋_GB2312" w:cs="Times New Roman"/>
          <w:color w:val="auto"/>
          <w:sz w:val="32"/>
          <w:szCs w:val="32"/>
          <w:highlight w:val="none"/>
          <w:u w:val="none" w:color="auto"/>
          <w:lang w:val="en-US" w:eastAsia="zh-CN"/>
        </w:rPr>
        <w:t>加速建设佳同铁路扩能改造、哈鱼岛路改扩建、同江松花江公路大桥等工程，推动通用机场、</w:t>
      </w:r>
      <w:r>
        <w:rPr>
          <w:rFonts w:hint="default" w:ascii="Times New Roman" w:hAnsi="Times New Roman" w:eastAsia="仿宋_GB2312" w:cs="Times New Roman"/>
          <w:color w:val="auto"/>
          <w:sz w:val="32"/>
          <w:szCs w:val="32"/>
          <w:highlight w:val="none"/>
          <w:u w:val="none" w:color="auto"/>
          <w:rtl w:val="0"/>
          <w:lang w:val="en-US" w:eastAsia="zh-CN"/>
        </w:rPr>
        <w:t>LPG能源码头</w:t>
      </w:r>
      <w:r>
        <w:rPr>
          <w:rFonts w:hint="default" w:ascii="Times New Roman" w:hAnsi="Times New Roman" w:eastAsia="仿宋_GB2312" w:cs="Times New Roman"/>
          <w:color w:val="auto"/>
          <w:sz w:val="32"/>
          <w:szCs w:val="32"/>
          <w:highlight w:val="none"/>
          <w:u w:val="none" w:color="auto"/>
          <w:lang w:val="en-US" w:eastAsia="zh-CN"/>
        </w:rPr>
        <w:t>项目取得新进展，着力打造外联内通的综合物流枢纽。</w:t>
      </w:r>
      <w:r>
        <w:rPr>
          <w:rFonts w:hint="default" w:ascii="Times New Roman" w:hAnsi="Times New Roman" w:eastAsia="仿宋_GB2312" w:cs="Times New Roman"/>
          <w:color w:val="auto"/>
          <w:sz w:val="32"/>
          <w:szCs w:val="32"/>
          <w:highlight w:val="none"/>
          <w:u w:val="none" w:color="auto"/>
          <w:rtl w:val="0"/>
          <w:lang w:val="en-US" w:eastAsia="zh-CN"/>
        </w:rPr>
        <w:t>重点突破换装查验瓶颈，加快建设进出境查验能力提升、</w:t>
      </w:r>
      <w:r>
        <w:rPr>
          <w:rFonts w:hint="default" w:ascii="Times New Roman" w:hAnsi="Times New Roman" w:eastAsia="仿宋_GB2312" w:cs="Times New Roman"/>
          <w:color w:val="auto"/>
          <w:sz w:val="32"/>
          <w:szCs w:val="32"/>
          <w:highlight w:val="none"/>
          <w:u w:val="none" w:color="auto"/>
          <w:lang w:val="en-US" w:eastAsia="zh-CN"/>
        </w:rPr>
        <w:t>危化品专用线、</w:t>
      </w:r>
      <w:r>
        <w:rPr>
          <w:rFonts w:hint="default" w:ascii="Times New Roman" w:hAnsi="Times New Roman" w:eastAsia="仿宋_GB2312" w:cs="Times New Roman"/>
          <w:color w:val="auto"/>
          <w:sz w:val="32"/>
          <w:szCs w:val="32"/>
          <w:highlight w:val="none"/>
          <w:u w:val="none" w:color="auto"/>
          <w:rtl w:val="0"/>
          <w:lang w:val="en-US" w:eastAsia="zh-CN"/>
        </w:rPr>
        <w:t>集散物流等项目，</w:t>
      </w:r>
      <w:r>
        <w:rPr>
          <w:rFonts w:hint="default" w:ascii="Times New Roman" w:hAnsi="Times New Roman" w:eastAsia="仿宋_GB2312" w:cs="Times New Roman"/>
          <w:color w:val="auto"/>
          <w:sz w:val="32"/>
          <w:szCs w:val="32"/>
          <w:highlight w:val="none"/>
          <w:u w:val="none" w:color="auto"/>
          <w:lang w:val="en-US" w:eastAsia="zh-CN"/>
        </w:rPr>
        <w:t>争取进境食用水生动物、粮食等指定监管场地通过验收，</w:t>
      </w:r>
      <w:r>
        <w:rPr>
          <w:rFonts w:hint="default" w:ascii="Times New Roman" w:hAnsi="Times New Roman" w:eastAsia="仿宋_GB2312" w:cs="Times New Roman"/>
          <w:color w:val="auto"/>
          <w:sz w:val="32"/>
          <w:szCs w:val="32"/>
          <w:highlight w:val="none"/>
          <w:u w:val="none" w:color="auto"/>
          <w:rtl w:val="0"/>
          <w:lang w:val="en-US" w:eastAsia="zh-CN"/>
        </w:rPr>
        <w:t>积极推动铁路口岸北站能力提升一期</w:t>
      </w:r>
      <w:r>
        <w:rPr>
          <w:rFonts w:hint="default" w:ascii="Times New Roman" w:hAnsi="Times New Roman" w:eastAsia="仿宋_GB2312" w:cs="Times New Roman"/>
          <w:color w:val="auto"/>
          <w:sz w:val="32"/>
          <w:szCs w:val="32"/>
          <w:highlight w:val="none"/>
          <w:u w:val="none" w:color="auto"/>
          <w:lang w:val="en-US" w:eastAsia="zh-CN"/>
        </w:rPr>
        <w:t>等项目</w:t>
      </w:r>
      <w:r>
        <w:rPr>
          <w:rFonts w:hint="default" w:ascii="Times New Roman" w:hAnsi="Times New Roman" w:eastAsia="仿宋_GB2312" w:cs="Times New Roman"/>
          <w:color w:val="auto"/>
          <w:sz w:val="32"/>
          <w:szCs w:val="32"/>
          <w:highlight w:val="none"/>
          <w:u w:val="none" w:color="auto"/>
          <w:rtl w:val="0"/>
          <w:lang w:val="en-US" w:eastAsia="zh-CN"/>
        </w:rPr>
        <w:t>申报</w:t>
      </w:r>
      <w:r>
        <w:rPr>
          <w:rFonts w:hint="default" w:ascii="Times New Roman" w:hAnsi="Times New Roman" w:eastAsia="仿宋_GB2312" w:cs="Times New Roman"/>
          <w:color w:val="auto"/>
          <w:sz w:val="32"/>
          <w:szCs w:val="32"/>
          <w:highlight w:val="none"/>
          <w:u w:val="none" w:color="auto"/>
          <w:lang w:val="en-US" w:eastAsia="zh-CN"/>
        </w:rPr>
        <w:t>，力争口岸全年过货量突破650万吨。</w:t>
      </w:r>
      <w:r>
        <w:rPr>
          <w:rFonts w:hint="default" w:ascii="Times New Roman" w:hAnsi="Times New Roman" w:eastAsia="仿宋_GB2312" w:cs="Times New Roman"/>
          <w:b/>
          <w:bCs/>
          <w:color w:val="auto"/>
          <w:kern w:val="2"/>
          <w:sz w:val="32"/>
          <w:szCs w:val="32"/>
          <w:highlight w:val="none"/>
          <w:u w:val="none" w:color="auto"/>
          <w:lang w:val="en-US" w:eastAsia="zh-CN" w:bidi="ar-SA"/>
        </w:rPr>
        <w:t>加快市场主体招引。</w:t>
      </w:r>
      <w:r>
        <w:rPr>
          <w:rFonts w:hint="default" w:ascii="Times New Roman" w:hAnsi="Times New Roman" w:eastAsia="仿宋_GB2312" w:cs="Times New Roman"/>
          <w:color w:val="auto"/>
          <w:sz w:val="32"/>
          <w:szCs w:val="32"/>
          <w:highlight w:val="none"/>
          <w:u w:val="none" w:color="auto"/>
          <w:lang w:val="en-US" w:eastAsia="zh-CN"/>
        </w:rPr>
        <w:t>实施跨境电商产业园、进出口商品加工储运园“满园工程”，推动“通道经济”向“落地经济”转型。加快推动铜矿保税仓库申报落地，探索设立保税混矿试点，定向招引有色金属贸易、磁选、精深加工龙头企业，培育有色金属产业链。加快推进上海链接者清洁能源存储项目开工，</w:t>
      </w:r>
      <w:r>
        <w:rPr>
          <w:rFonts w:hint="default" w:ascii="Times New Roman" w:hAnsi="Times New Roman" w:eastAsia="仿宋_GB2312" w:cs="Times New Roman"/>
          <w:color w:val="auto"/>
          <w:sz w:val="32"/>
          <w:szCs w:val="32"/>
          <w:highlight w:val="none"/>
          <w:u w:val="none" w:color="auto"/>
          <w:rtl w:val="0"/>
          <w:lang w:val="en-US" w:eastAsia="zh-CN"/>
        </w:rPr>
        <w:t>推动煤炭集散大市场建设，</w:t>
      </w:r>
      <w:r>
        <w:rPr>
          <w:rFonts w:hint="default" w:ascii="Times New Roman" w:hAnsi="Times New Roman" w:eastAsia="仿宋_GB2312" w:cs="Times New Roman"/>
          <w:color w:val="auto"/>
          <w:kern w:val="0"/>
          <w:sz w:val="32"/>
          <w:szCs w:val="32"/>
          <w:highlight w:val="none"/>
          <w:u w:val="none" w:color="auto"/>
          <w:lang w:val="en-US" w:eastAsia="zh-CN" w:bidi="ar"/>
        </w:rPr>
        <w:t>力促米高钾肥加工项目一期投产运营，</w:t>
      </w:r>
      <w:r>
        <w:rPr>
          <w:rFonts w:hint="default" w:ascii="Times New Roman" w:hAnsi="Times New Roman" w:eastAsia="仿宋_GB2312" w:cs="Times New Roman"/>
          <w:color w:val="auto"/>
          <w:sz w:val="32"/>
          <w:szCs w:val="32"/>
          <w:highlight w:val="none"/>
          <w:u w:val="none" w:color="auto"/>
          <w:lang w:val="en-US" w:eastAsia="zh-CN"/>
        </w:rPr>
        <w:t>培育能源化工产业链。着力引进钱江摩托、江苏准拓等企业，培育壮大机电装配出口产业链。推动启越国际进口俄豆加工、舟山浩广活体水产进口中转基地、食品加工产业园二期、鳇小鱼鱼产品深加工基地建成投产，培育农副产品精深加工产业链。</w:t>
      </w:r>
      <w:r>
        <w:rPr>
          <w:rFonts w:hint="default" w:ascii="Times New Roman" w:hAnsi="Times New Roman" w:eastAsia="仿宋_GB2312" w:cs="Times New Roman"/>
          <w:b/>
          <w:bCs/>
          <w:color w:val="auto"/>
          <w:kern w:val="2"/>
          <w:sz w:val="32"/>
          <w:szCs w:val="32"/>
          <w:highlight w:val="none"/>
          <w:u w:val="none" w:color="auto"/>
          <w:lang w:val="en-US" w:eastAsia="zh-CN" w:bidi="ar-SA"/>
        </w:rPr>
        <w:t>加快开放能级提升。</w:t>
      </w:r>
      <w:r>
        <w:rPr>
          <w:rFonts w:hint="default" w:ascii="Times New Roman" w:hAnsi="Times New Roman" w:eastAsia="仿宋_GB2312" w:cs="Times New Roman"/>
          <w:color w:val="auto"/>
          <w:sz w:val="32"/>
          <w:szCs w:val="32"/>
          <w:highlight w:val="none"/>
          <w:u w:val="none" w:color="auto"/>
          <w:lang w:val="en-US" w:eastAsia="zh-CN"/>
        </w:rPr>
        <w:t>推动中俄邮路开通取得突破性进展，扩大海外仓规模，加快边境仓、中转仓建设，打造境内外货品集散基地，推动跨境电商交易额保持稳定增长。大力发展互市贸易，推动大宗俄品溯源20种以上，布局建设俄罗斯国家馆，探索“前店后厂”“前店后仓”发展路径，推动“边民互市+落地加工+电商直播”融合发展，提升“同江俄品”市场份额与品牌影响力，力争互贸交易额突破1200万元。</w:t>
      </w:r>
      <w:r>
        <w:rPr>
          <w:rFonts w:hint="default" w:ascii="Times New Roman" w:hAnsi="Times New Roman" w:eastAsia="仿宋_GB2312" w:cs="Times New Roman"/>
          <w:b/>
          <w:bCs/>
          <w:color w:val="auto"/>
          <w:sz w:val="32"/>
          <w:szCs w:val="32"/>
          <w:highlight w:val="none"/>
          <w:u w:val="none" w:color="auto"/>
          <w:lang w:val="en-US" w:eastAsia="zh-CN"/>
        </w:rPr>
        <w:t>加快服务效能提升。</w:t>
      </w:r>
      <w:r>
        <w:rPr>
          <w:rFonts w:hint="default" w:ascii="Times New Roman" w:hAnsi="Times New Roman" w:eastAsia="仿宋_GB2312" w:cs="Times New Roman"/>
          <w:color w:val="auto"/>
          <w:sz w:val="32"/>
          <w:szCs w:val="32"/>
          <w:highlight w:val="none"/>
          <w:u w:val="none" w:color="auto"/>
          <w:lang w:val="en-US" w:eastAsia="zh-CN"/>
        </w:rPr>
        <w:t>优化出入境服务，主动对接俄铁、国铁协商开通整列换装和“空车重回”业务，推动水铁口岸议价降费，积极协调下列口岸推进清关查验能力建设，不断升级国内报关、货代、结算等服务，全面提高口岸跨境贸易便利化水平。优化平台服务，</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聚焦打造“同洽会”国际化商务平台，充分发挥商会协会和外联部作用，办好同江第三届中俄经贸洽谈会，</w:t>
      </w:r>
      <w:r>
        <w:rPr>
          <w:rFonts w:hint="default" w:ascii="Times New Roman" w:hAnsi="Times New Roman" w:eastAsia="仿宋_GB2312" w:cs="Times New Roman"/>
          <w:color w:val="auto"/>
          <w:sz w:val="32"/>
          <w:szCs w:val="32"/>
          <w:highlight w:val="none"/>
          <w:u w:val="none" w:color="auto"/>
          <w:lang w:val="en-US" w:eastAsia="zh-CN"/>
        </w:rPr>
        <w:t>力争新增大桥过货企业10家以上、外贸企业20家以上。</w:t>
      </w:r>
    </w:p>
    <w:p w14:paraId="6F20D5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sz w:val="32"/>
          <w:szCs w:val="32"/>
          <w:highlight w:val="none"/>
          <w:u w:val="none" w:color="auto"/>
          <w:lang w:val="en-US" w:eastAsia="zh-CN"/>
        </w:rPr>
        <w:t>(二)坚持以更实举措提振实体经济。</w:t>
      </w:r>
      <w:r>
        <w:rPr>
          <w:rFonts w:hint="default" w:ascii="Times New Roman" w:hAnsi="Times New Roman" w:eastAsia="仿宋_GB2312" w:cs="Times New Roman"/>
          <w:color w:val="auto"/>
          <w:kern w:val="2"/>
          <w:sz w:val="32"/>
          <w:szCs w:val="32"/>
          <w:highlight w:val="none"/>
          <w:u w:val="none" w:color="auto"/>
          <w:lang w:val="en-US" w:eastAsia="zh-CN" w:bidi="ar-SA"/>
        </w:rPr>
        <w:t>聚焦“提质量、扩增量、壮体量”，以“三个年”活动为引领，全面激活实体经济发展新动能。</w:t>
      </w:r>
      <w:r>
        <w:rPr>
          <w:rFonts w:hint="default" w:ascii="Times New Roman" w:hAnsi="Times New Roman" w:eastAsia="仿宋_GB2312" w:cs="Times New Roman"/>
          <w:b/>
          <w:bCs/>
          <w:color w:val="auto"/>
          <w:kern w:val="2"/>
          <w:sz w:val="32"/>
          <w:szCs w:val="32"/>
          <w:highlight w:val="none"/>
          <w:u w:val="none" w:color="auto"/>
          <w:lang w:val="en-US" w:eastAsia="zh-CN" w:bidi="ar-SA"/>
        </w:rPr>
        <w:t>实施项目建设提升年</w:t>
      </w:r>
      <w:r>
        <w:rPr>
          <w:rFonts w:hint="default" w:ascii="Times New Roman" w:hAnsi="Times New Roman" w:eastAsia="仿宋_GB2312" w:cs="Times New Roman"/>
          <w:b/>
          <w:bCs/>
          <w:color w:val="auto"/>
          <w:sz w:val="32"/>
          <w:szCs w:val="32"/>
          <w:highlight w:val="none"/>
          <w:u w:val="none" w:color="auto"/>
          <w:lang w:val="en-US" w:eastAsia="zh-CN"/>
        </w:rPr>
        <w:t>。</w:t>
      </w:r>
      <w:r>
        <w:rPr>
          <w:rFonts w:hint="default" w:ascii="Times New Roman" w:hAnsi="Times New Roman" w:eastAsia="仿宋_GB2312" w:cs="Times New Roman"/>
          <w:color w:val="auto"/>
          <w:kern w:val="2"/>
          <w:sz w:val="32"/>
          <w:szCs w:val="32"/>
          <w:highlight w:val="none"/>
          <w:u w:val="none" w:color="auto"/>
          <w:lang w:val="en-US" w:eastAsia="zh-CN" w:bidi="ar-SA"/>
        </w:rPr>
        <w:t>抢抓国家“两重”“两新”等政策机遇，优化项目库，谋划储备重点项目105个以上。深化项目前期准备和全过程管理，重点推动口岸能力、农田水利等基础设施项目建设，加快驰凯物流园等产业项目建设，力争全年开复工项目75个以上、竣工投产项目40个以上、完成投资32亿元以上。</w:t>
      </w:r>
      <w:r>
        <w:rPr>
          <w:rFonts w:hint="default" w:ascii="Times New Roman" w:hAnsi="Times New Roman" w:eastAsia="仿宋_GB2312" w:cs="Times New Roman"/>
          <w:b/>
          <w:bCs/>
          <w:color w:val="auto"/>
          <w:sz w:val="32"/>
          <w:szCs w:val="32"/>
          <w:highlight w:val="none"/>
          <w:u w:val="none" w:color="auto"/>
          <w:lang w:val="en-US" w:eastAsia="zh-CN"/>
        </w:rPr>
        <w:t>实施招商引资突破年。</w:t>
      </w:r>
      <w:r>
        <w:rPr>
          <w:rFonts w:hint="default" w:ascii="Times New Roman" w:hAnsi="Times New Roman" w:eastAsia="仿宋_GB2312" w:cs="Times New Roman"/>
          <w:color w:val="auto"/>
          <w:sz w:val="32"/>
          <w:szCs w:val="32"/>
          <w:highlight w:val="none"/>
          <w:u w:val="none" w:color="auto"/>
          <w:lang w:val="en-US" w:eastAsia="zh-CN"/>
        </w:rPr>
        <w:t>聚焦“5+N”产业体系，</w:t>
      </w:r>
      <w:r>
        <w:rPr>
          <w:rFonts w:hint="default" w:ascii="Times New Roman" w:hAnsi="Times New Roman" w:eastAsia="仿宋_GB2312" w:cs="Times New Roman"/>
          <w:color w:val="auto"/>
          <w:kern w:val="2"/>
          <w:sz w:val="32"/>
          <w:szCs w:val="32"/>
          <w:highlight w:val="none"/>
          <w:u w:val="none" w:color="auto"/>
          <w:lang w:val="en-US" w:eastAsia="zh-CN" w:bidi="ar-SA"/>
        </w:rPr>
        <w:t>细化“招商引资产业链图谱”，</w:t>
      </w:r>
      <w:r>
        <w:rPr>
          <w:rFonts w:hint="default" w:ascii="Times New Roman" w:hAnsi="Times New Roman" w:eastAsia="仿宋_GB2312" w:cs="Times New Roman"/>
          <w:color w:val="auto"/>
          <w:sz w:val="32"/>
          <w:szCs w:val="32"/>
          <w:highlight w:val="none"/>
          <w:u w:val="none" w:color="auto"/>
          <w:lang w:val="en-US" w:eastAsia="zh-CN"/>
        </w:rPr>
        <w:t>探索“政府领导+企业主导+市场化运作”招商模式，深入开展国企招商、驻外招商、园区招商、</w:t>
      </w:r>
      <w:r>
        <w:rPr>
          <w:rFonts w:hint="default" w:ascii="Times New Roman" w:hAnsi="Times New Roman" w:eastAsia="仿宋_GB2312" w:cs="Times New Roman"/>
          <w:color w:val="auto"/>
          <w:kern w:val="2"/>
          <w:sz w:val="32"/>
          <w:szCs w:val="32"/>
          <w:highlight w:val="none"/>
          <w:u w:val="none" w:color="auto"/>
          <w:lang w:val="en-US" w:eastAsia="zh-CN" w:bidi="ar-SA"/>
        </w:rPr>
        <w:t>专业招商</w:t>
      </w:r>
      <w:r>
        <w:rPr>
          <w:rFonts w:hint="default" w:ascii="Times New Roman" w:hAnsi="Times New Roman" w:eastAsia="仿宋_GB2312" w:cs="Times New Roman"/>
          <w:b w:val="0"/>
          <w:bCs w:val="0"/>
          <w:color w:val="auto"/>
          <w:sz w:val="32"/>
          <w:szCs w:val="32"/>
          <w:highlight w:val="none"/>
          <w:u w:val="none" w:color="auto"/>
          <w:lang w:val="en-US" w:eastAsia="zh-CN"/>
        </w:rPr>
        <w:t>，全面提升招商引资的精准性与实效性。</w:t>
      </w:r>
      <w:r>
        <w:rPr>
          <w:rFonts w:hint="default" w:ascii="Times New Roman" w:hAnsi="Times New Roman" w:eastAsia="仿宋_GB2312" w:cs="Times New Roman"/>
          <w:color w:val="auto"/>
          <w:sz w:val="32"/>
          <w:szCs w:val="32"/>
          <w:highlight w:val="none"/>
          <w:u w:val="none" w:color="auto"/>
          <w:lang w:val="en-US" w:eastAsia="zh-CN"/>
        </w:rPr>
        <w:t>深化队伍建设、组建招商专班，建立招商服务责任制，构建</w:t>
      </w:r>
      <w:r>
        <w:rPr>
          <w:rFonts w:hint="default" w:ascii="Times New Roman" w:hAnsi="Times New Roman" w:eastAsia="仿宋_GB2312" w:cs="Times New Roman"/>
          <w:b w:val="0"/>
          <w:bCs w:val="0"/>
          <w:color w:val="auto"/>
          <w:sz w:val="32"/>
          <w:szCs w:val="32"/>
          <w:highlight w:val="none"/>
          <w:u w:val="none" w:color="auto"/>
          <w:lang w:val="en-US" w:eastAsia="zh-CN"/>
        </w:rPr>
        <w:t>“签约落地、开工建设、投产运营”</w:t>
      </w:r>
      <w:r>
        <w:rPr>
          <w:rFonts w:hint="default" w:ascii="Times New Roman" w:hAnsi="Times New Roman" w:eastAsia="仿宋_GB2312" w:cs="Times New Roman"/>
          <w:color w:val="auto"/>
          <w:sz w:val="32"/>
          <w:szCs w:val="32"/>
          <w:highlight w:val="none"/>
          <w:u w:val="none" w:color="auto"/>
          <w:lang w:val="en-US" w:eastAsia="zh-CN"/>
        </w:rPr>
        <w:t>全流程闭环服务体系，力争全年招引产业项目20个以上。</w:t>
      </w:r>
      <w:r>
        <w:rPr>
          <w:rFonts w:hint="default" w:ascii="Times New Roman" w:hAnsi="Times New Roman" w:eastAsia="仿宋_GB2312" w:cs="Times New Roman"/>
          <w:b/>
          <w:bCs/>
          <w:color w:val="auto"/>
          <w:kern w:val="2"/>
          <w:sz w:val="32"/>
          <w:szCs w:val="32"/>
          <w:highlight w:val="none"/>
          <w:u w:val="none" w:color="auto"/>
          <w:lang w:val="en-US" w:eastAsia="zh-CN" w:bidi="ar-SA"/>
        </w:rPr>
        <w:t>实施企业培育增效年。</w:t>
      </w:r>
      <w:r>
        <w:rPr>
          <w:rFonts w:hint="default" w:ascii="Times New Roman" w:hAnsi="Times New Roman" w:eastAsia="仿宋_GB2312" w:cs="Times New Roman"/>
          <w:color w:val="auto"/>
          <w:kern w:val="2"/>
          <w:sz w:val="32"/>
          <w:szCs w:val="32"/>
          <w:highlight w:val="none"/>
          <w:u w:val="none" w:color="auto"/>
          <w:lang w:val="en-US" w:eastAsia="zh-CN" w:bidi="ar-SA"/>
        </w:rPr>
        <w:t>深入挖潜存量企业，推动赫哲战骑联动上下游企业，发展摩托车等户外运动装备产业集群；推进金醛生物等企业向高附加值领域拓展，培育生物经济新增长点；引导鑫祥木业等“两头在外”企业，优化境内外产业布局；推动松远砂石投产达效，探索向高性能纤维等下游产业延伸。梯度培育科技企业，加快发展新质生产力，支持长恒生物质、平祥农机等企业加快科技攻关和成果转化，帮助津鹏农业、啸月狼等企业与高校、科研院所对接合作，深入推进“智改数转网联”，加快鑫润建材等5户企业数字化改造，争取创新主体总量突破15户。</w:t>
      </w:r>
    </w:p>
    <w:p w14:paraId="342CCC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highlight w:val="none"/>
          <w:u w:val="none" w:color="auto"/>
          <w:lang w:val="en-US" w:eastAsia="zh-CN"/>
        </w:rPr>
        <w:t>(三)坚持以更高水平推动乡村振兴。</w:t>
      </w:r>
      <w:r>
        <w:rPr>
          <w:rFonts w:hint="default" w:ascii="Times New Roman" w:hAnsi="Times New Roman" w:eastAsia="仿宋_GB2312" w:cs="Times New Roman"/>
          <w:color w:val="auto"/>
          <w:sz w:val="32"/>
          <w:szCs w:val="32"/>
          <w:highlight w:val="none"/>
          <w:u w:val="none" w:color="auto"/>
          <w:lang w:val="en-US" w:eastAsia="zh-CN"/>
        </w:rPr>
        <w:t>深入</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实施以发展现代农业为牵动的“三农”提质工程，</w:t>
      </w:r>
      <w:r>
        <w:rPr>
          <w:rFonts w:hint="default" w:ascii="Times New Roman" w:hAnsi="Times New Roman" w:eastAsia="仿宋_GB2312" w:cs="Times New Roman"/>
          <w:color w:val="auto"/>
          <w:sz w:val="32"/>
          <w:szCs w:val="32"/>
          <w:highlight w:val="none"/>
          <w:u w:val="none" w:color="auto"/>
          <w:lang w:val="en-US" w:eastAsia="zh-CN"/>
        </w:rPr>
        <w:t>全力推动农业增效、农村增色、农民增收。</w:t>
      </w:r>
      <w:r>
        <w:rPr>
          <w:rFonts w:hint="default" w:ascii="Times New Roman" w:hAnsi="Times New Roman" w:eastAsia="仿宋_GB2312" w:cs="Times New Roman"/>
          <w:b/>
          <w:bCs/>
          <w:color w:val="auto"/>
          <w:sz w:val="32"/>
          <w:szCs w:val="32"/>
          <w:highlight w:val="none"/>
          <w:u w:val="none" w:color="auto"/>
          <w:lang w:val="en-US" w:eastAsia="zh-CN"/>
        </w:rPr>
        <w:t>着力提高粮食产能。</w:t>
      </w:r>
      <w:r>
        <w:rPr>
          <w:rFonts w:hint="default" w:ascii="Times New Roman" w:hAnsi="Times New Roman" w:eastAsia="仿宋_GB2312" w:cs="Times New Roman"/>
          <w:color w:val="auto"/>
          <w:sz w:val="32"/>
          <w:szCs w:val="32"/>
          <w:highlight w:val="none"/>
          <w:u w:val="none" w:color="auto"/>
          <w:lang w:val="en-US" w:eastAsia="zh-CN"/>
        </w:rPr>
        <w:t>落实新一轮千亿斤粮食产能提升行动，推进粮食产能提升护岸工程建设，释放三大灌区效能，有序消除“井灌稻”，大力发展“江水稻”，鼓励种植大户、家庭农场等主体发展适度规模经营，</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确保粮食产量稳定在53亿斤以上。</w:t>
      </w:r>
      <w:r>
        <w:rPr>
          <w:rFonts w:hint="default" w:ascii="Times New Roman" w:hAnsi="Times New Roman" w:eastAsia="仿宋_GB2312" w:cs="Times New Roman"/>
          <w:b/>
          <w:bCs/>
          <w:color w:val="auto"/>
          <w:sz w:val="32"/>
          <w:szCs w:val="32"/>
          <w:highlight w:val="none"/>
          <w:u w:val="none" w:color="auto"/>
          <w:lang w:val="en-US" w:eastAsia="zh-CN"/>
        </w:rPr>
        <w:t>做强多元经营体系。</w:t>
      </w:r>
      <w:r>
        <w:rPr>
          <w:rFonts w:hint="default" w:ascii="Times New Roman" w:hAnsi="Times New Roman" w:eastAsia="仿宋_GB2312" w:cs="Times New Roman"/>
          <w:strike w:val="0"/>
          <w:dstrike w:val="0"/>
          <w:color w:val="auto"/>
          <w:sz w:val="32"/>
          <w:szCs w:val="32"/>
          <w:highlight w:val="none"/>
          <w:u w:val="none" w:color="auto"/>
          <w:lang w:val="en-US" w:eastAsia="zh-CN"/>
        </w:rPr>
        <w:t>依托农田资源，聚焦“同江大米”品牌建设</w:t>
      </w:r>
      <w:r>
        <w:rPr>
          <w:rFonts w:hint="default" w:ascii="Times New Roman" w:hAnsi="Times New Roman" w:eastAsia="仿宋_GB2312" w:cs="Times New Roman"/>
          <w:b w:val="0"/>
          <w:i w:val="0"/>
          <w:iCs w:val="0"/>
          <w:caps w:val="0"/>
          <w:strike w:val="0"/>
          <w:dstrike w:val="0"/>
          <w:color w:val="auto"/>
          <w:spacing w:val="0"/>
          <w:kern w:val="0"/>
          <w:sz w:val="32"/>
          <w:szCs w:val="32"/>
          <w:highlight w:val="none"/>
          <w:u w:val="none" w:color="auto"/>
          <w:lang w:val="en-US" w:eastAsia="zh-CN" w:bidi="ar"/>
        </w:rPr>
        <w:t>，出台绿色有机种植补贴政策，推动万亩良田有机转型，探索“地块包装、品牌打造、电商营销、全程溯源”新路径，提升原粮溢价能力。</w:t>
      </w:r>
      <w:r>
        <w:rPr>
          <w:rFonts w:hint="default" w:ascii="Times New Roman" w:hAnsi="Times New Roman" w:eastAsia="仿宋_GB2312" w:cs="Times New Roman"/>
          <w:color w:val="auto"/>
          <w:sz w:val="32"/>
          <w:szCs w:val="32"/>
          <w:highlight w:val="none"/>
          <w:u w:val="none" w:color="auto"/>
          <w:lang w:val="en-US" w:eastAsia="zh-CN"/>
        </w:rPr>
        <w:t>依托林下资源，积极发展刺五加、寒葱等林下经济，推动更多产品入选“九珍十八品”。依托冷水资源，加快建设寒地仿野生冷水鱼基地和冷水鱼种质资源繁育基地，启动同江仿野生鱼标准体系建设，探索“北鱼南养+寄养回游”模式，扩大“网箱养殖”和仿野生鱼养殖规模。建立野生鱼溯源机制，探索“企业+合作社+门店+电商”模式，打造同江野生鱼品牌。依托农牧资源，稳步扩大高端肉牛、生猪、大鹅等养殖规模，年内新培育规模化养殖场2家以上，力争畜禽饲养总量突破90万头(只)。积极发展定制农业，发挥国企主导作用，推动特色农产品上行。</w:t>
      </w:r>
      <w:r>
        <w:rPr>
          <w:rFonts w:hint="default" w:ascii="Times New Roman" w:hAnsi="Times New Roman" w:eastAsia="仿宋_GB2312" w:cs="Times New Roman"/>
          <w:b/>
          <w:bCs/>
          <w:color w:val="auto"/>
          <w:sz w:val="32"/>
          <w:szCs w:val="32"/>
          <w:highlight w:val="none"/>
          <w:u w:val="none" w:color="auto"/>
          <w:lang w:val="en-US" w:eastAsia="zh-CN"/>
        </w:rPr>
        <w:t>提升“三农”服务水平。</w:t>
      </w:r>
      <w:r>
        <w:rPr>
          <w:rFonts w:hint="default" w:ascii="Times New Roman" w:hAnsi="Times New Roman" w:eastAsia="仿宋_GB2312" w:cs="Times New Roman"/>
          <w:color w:val="auto"/>
          <w:sz w:val="32"/>
          <w:szCs w:val="32"/>
          <w:highlight w:val="none"/>
          <w:u w:val="none" w:color="auto"/>
          <w:lang w:val="en-US" w:eastAsia="zh-CN"/>
        </w:rPr>
        <w:t>聚焦服务农业，</w:t>
      </w:r>
      <w:r>
        <w:rPr>
          <w:rFonts w:hint="default" w:ascii="Times New Roman" w:hAnsi="Times New Roman" w:eastAsia="仿宋_GB2312" w:cs="Times New Roman"/>
          <w:b w:val="0"/>
          <w:bCs w:val="0"/>
          <w:color w:val="auto"/>
          <w:sz w:val="32"/>
          <w:szCs w:val="32"/>
          <w:highlight w:val="none"/>
          <w:u w:val="none" w:color="auto"/>
          <w:lang w:val="en-US" w:eastAsia="zh-CN"/>
        </w:rPr>
        <w:t>做好第四次全国农业普查，</w:t>
      </w:r>
      <w:r>
        <w:rPr>
          <w:rFonts w:hint="default" w:ascii="Times New Roman" w:hAnsi="Times New Roman" w:eastAsia="仿宋_GB2312" w:cs="Times New Roman"/>
          <w:color w:val="auto"/>
          <w:sz w:val="32"/>
          <w:szCs w:val="32"/>
          <w:highlight w:val="none"/>
          <w:u w:val="none" w:color="auto"/>
          <w:lang w:val="en-US" w:eastAsia="zh-CN"/>
        </w:rPr>
        <w:t>深化垦地及跨境农业合作，加强智慧农业应用，探索建设无人农场示范区，力争</w:t>
      </w:r>
      <w:r>
        <w:rPr>
          <w:rFonts w:hint="default" w:ascii="Times New Roman" w:hAnsi="Times New Roman" w:eastAsia="仿宋_GB2312" w:cs="Times New Roman"/>
          <w:color w:val="auto"/>
          <w:kern w:val="0"/>
          <w:sz w:val="32"/>
          <w:szCs w:val="32"/>
          <w:highlight w:val="none"/>
          <w:u w:val="none" w:color="auto"/>
          <w:lang w:val="en-US" w:eastAsia="zh-CN" w:bidi="ar"/>
        </w:rPr>
        <w:t>高端</w:t>
      </w:r>
      <w:r>
        <w:rPr>
          <w:rFonts w:hint="default" w:ascii="Times New Roman" w:hAnsi="Times New Roman" w:eastAsia="仿宋_GB2312" w:cs="Times New Roman"/>
          <w:color w:val="auto"/>
          <w:sz w:val="32"/>
          <w:szCs w:val="32"/>
          <w:highlight w:val="none"/>
          <w:u w:val="none" w:color="auto"/>
          <w:lang w:val="en-US" w:eastAsia="zh-CN"/>
        </w:rPr>
        <w:t>智能化农机作业覆盖率达40%以上。聚焦服务农民，实施农技人员、新型职业农民和种养殖带头人培育工程，推动农技服务向科技农业、绿色农业、质量农业、品牌农业倾斜。聚焦服务农村，规范“三资”管理，优化升级村级事务公开平台，稳妥推进第二轮土地承包到期后再延长30年试点。</w:t>
      </w:r>
      <w:r>
        <w:rPr>
          <w:rFonts w:hint="default" w:ascii="Times New Roman" w:hAnsi="Times New Roman" w:eastAsia="仿宋_GB2312" w:cs="Times New Roman"/>
          <w:b/>
          <w:bCs/>
          <w:color w:val="auto"/>
          <w:sz w:val="32"/>
          <w:szCs w:val="32"/>
          <w:highlight w:val="none"/>
          <w:u w:val="none" w:color="auto"/>
          <w:lang w:val="en-US" w:eastAsia="zh-CN"/>
        </w:rPr>
        <w:t>精心建设和美乡村。</w:t>
      </w:r>
      <w:r>
        <w:rPr>
          <w:rFonts w:hint="default" w:ascii="Times New Roman" w:hAnsi="Times New Roman" w:eastAsia="仿宋_GB2312" w:cs="Times New Roman"/>
          <w:color w:val="auto"/>
          <w:sz w:val="32"/>
          <w:szCs w:val="32"/>
          <w:highlight w:val="none"/>
          <w:u w:val="none" w:color="auto"/>
          <w:lang w:val="en-US" w:eastAsia="zh-CN"/>
        </w:rPr>
        <w:t>学习运用“千万工程”经验，逐步提高农村基础设施完备度、公共服务便利度、人居环境舒适度，打造美丽宜居示范村5个。推动农村集体经营性建设用地全面入市，支持新光村、富川村等村屯引入市场主体参与乡村运营，打造特色产业示范村10个。</w:t>
      </w:r>
    </w:p>
    <w:p w14:paraId="186FBD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pPr>
      <w:r>
        <w:rPr>
          <w:rFonts w:hint="default" w:ascii="Times New Roman" w:hAnsi="Times New Roman" w:eastAsia="楷体_GB2312" w:cs="Times New Roman"/>
          <w:b/>
          <w:bCs/>
          <w:color w:val="auto"/>
          <w:sz w:val="32"/>
          <w:szCs w:val="32"/>
          <w:highlight w:val="none"/>
          <w:u w:val="none" w:color="auto"/>
          <w:lang w:val="en-US" w:eastAsia="zh-CN"/>
        </w:rPr>
        <w:t>(四)坚持以更优品质促进三产繁荣。</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深入实施以发展文化旅游为牵动的消费提质工程，以文旅“一业兴”带动市场“百业旺”。</w:t>
      </w: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fill="FFFFFF"/>
          <w:lang w:val="en-US" w:eastAsia="zh-CN" w:bidi="ar"/>
        </w:rPr>
        <w:t>拓展旅游发展新空间。</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抢抓中俄两国双向免签政策机遇，大力发展跨境跨域游，深化与俄罗斯哈巴罗夫斯克、比罗比詹及国内四川邛崃、沈阳于洪区等友好城市交流合作，加强与同三公路、“醉美331边防路”沿线城市联动协作，推动资源互补、客源互送，引爆“跨国游”“同江购”热潮。</w:t>
      </w: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fill="FFFFFF"/>
          <w:lang w:val="en-US" w:eastAsia="zh-CN" w:bidi="ar"/>
        </w:rPr>
        <w:t>塑造全域旅游新风貌。</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重点实施大三江口、大街津口、边境醉美乡村旅游带“两大一带”提质工程，</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升级改造三江口、街津口旅游区，推动渔业村、八岔村等旅游村建设，高标准打造街津口特色旅居小镇，</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建好松黑江畔露营地、稻田公园二期等精品项目，推动全国</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首条音乐公路大桥建成通车，</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持续完善</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醉美331公路驿站服务功能，全力</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打造全国乡村旅游目的地。</w:t>
      </w:r>
      <w:r>
        <w:rPr>
          <w:rFonts w:hint="default" w:ascii="Times New Roman" w:hAnsi="Times New Roman" w:eastAsia="仿宋_GB2312" w:cs="Times New Roman"/>
          <w:b/>
          <w:bCs/>
          <w:color w:val="auto"/>
          <w:spacing w:val="0"/>
          <w:kern w:val="0"/>
          <w:sz w:val="32"/>
          <w:szCs w:val="32"/>
          <w:highlight w:val="none"/>
          <w:u w:val="none" w:color="auto"/>
          <w:lang w:val="en-US" w:eastAsia="zh-CN"/>
        </w:rPr>
        <w:t>提升供给服务新质效。</w:t>
      </w:r>
      <w:r>
        <w:rPr>
          <w:rFonts w:hint="default" w:ascii="Times New Roman" w:hAnsi="Times New Roman" w:eastAsia="仿宋_GB2312" w:cs="Times New Roman"/>
          <w:b w:val="0"/>
          <w:bCs w:val="0"/>
          <w:color w:val="auto"/>
          <w:spacing w:val="0"/>
          <w:kern w:val="0"/>
          <w:sz w:val="32"/>
          <w:szCs w:val="32"/>
          <w:highlight w:val="none"/>
          <w:u w:val="none" w:color="auto"/>
          <w:lang w:val="en-US" w:eastAsia="zh-CN"/>
        </w:rPr>
        <w:t>坚持旅游为民理念，优化旅游产品和服务供给，</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深度开发特色精品线路，丰富沉浸式、旅居式旅游新体验。办好黑龙江省边境(界江界湖)旅游联盟大会、第十二届中俄边境文化季，举办</w:t>
      </w:r>
      <w:r>
        <w:rPr>
          <w:rFonts w:hint="default" w:ascii="Times New Roman" w:hAnsi="Times New Roman" w:eastAsia="仿宋_GB2312" w:cs="Times New Roman"/>
          <w:b w:val="0"/>
          <w:bCs w:val="0"/>
          <w:color w:val="auto"/>
          <w:sz w:val="32"/>
          <w:szCs w:val="32"/>
          <w:highlight w:val="none"/>
          <w:u w:val="none" w:color="auto"/>
          <w:lang w:val="en-US" w:eastAsia="zh-CN"/>
        </w:rPr>
        <w:t>赫哲族</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乌日贡节、同江伊玛堪学术交流等活动，让游客在界江风景与人文风情中感受同江魅力。</w:t>
      </w:r>
      <w:r>
        <w:rPr>
          <w:rFonts w:hint="default" w:ascii="Times New Roman" w:hAnsi="Times New Roman" w:eastAsia="仿宋_GB2312" w:cs="Times New Roman"/>
          <w:b/>
          <w:bCs/>
          <w:color w:val="auto"/>
          <w:spacing w:val="0"/>
          <w:kern w:val="0"/>
          <w:sz w:val="32"/>
          <w:szCs w:val="32"/>
          <w:highlight w:val="none"/>
          <w:u w:val="none" w:color="auto"/>
          <w:lang w:val="en-US" w:eastAsia="zh-CN"/>
        </w:rPr>
        <w:t>激活消费市场新动能。</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深化农商文体旅融合发展，着力拓展消费新场景、新业态、新产品。推动特色餐饮、汤泉娱乐、</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非遗中心等场所</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向文旅</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商娱</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综合体转型，</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支持鳇鱼水饺、“俄品同江”等特色首店全国连锁，升级离境退税服务，激活消费新热点</w:t>
      </w:r>
      <w:r>
        <w:rPr>
          <w:rFonts w:hint="default" w:ascii="Times New Roman" w:hAnsi="Times New Roman" w:eastAsia="仿宋_GB2312" w:cs="Times New Roman"/>
          <w:b w:val="0"/>
          <w:i w:val="0"/>
          <w:iCs w:val="0"/>
          <w:caps w:val="0"/>
          <w:color w:val="auto"/>
          <w:spacing w:val="0"/>
          <w:kern w:val="0"/>
          <w:sz w:val="32"/>
          <w:szCs w:val="32"/>
          <w:highlight w:val="none"/>
          <w:u w:val="none" w:color="auto"/>
          <w:shd w:val="clear" w:fill="FFFFFF"/>
          <w:lang w:val="en-US" w:eastAsia="zh-CN" w:bidi="ar"/>
        </w:rPr>
        <w:t>。大力发展“赛事+旅游”，精心筹办中俄篮球对抗赛、醉美331边境城市篮球邀请赛、全省手球锦标赛等赛事。加快培育文化创意产业，鼓励用文创理念包装开发农特产品，打造可带走的同江记忆。</w:t>
      </w:r>
    </w:p>
    <w:p w14:paraId="6F5D1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pPr>
      <w:r>
        <w:rPr>
          <w:rFonts w:hint="default" w:ascii="Times New Roman" w:hAnsi="Times New Roman" w:eastAsia="楷体_GB2312" w:cs="Times New Roman"/>
          <w:b/>
          <w:bCs/>
          <w:color w:val="auto"/>
          <w:sz w:val="32"/>
          <w:szCs w:val="32"/>
          <w:highlight w:val="none"/>
          <w:u w:val="none" w:color="auto"/>
          <w:lang w:val="en-US" w:eastAsia="zh-CN"/>
        </w:rPr>
        <w:t>(五)坚持以更足干劲扮靓城市底色。</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深入践行人民城市理念，加快打造宜居、韧性、</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美丽</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城市。</w:t>
      </w: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注重设施功能完善。</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联通勤俭路、改造人大路、提升幸福路，启动城区南出口道路改建前期筹备工作，打造友谊路标杆示范路，推动城区路网全面升级。实施东部城区供热管网配套等项目，铺设改造管网60公里以上，推进5个污水直排小区并入市政管网，全面建成建筑垃圾消纳场及转运调配场，推动城市品质全面升级。</w:t>
      </w: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注重城市精细管理。</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大力推进拆围透绿、拆违还绿，升级建设城区菜地游园、花海绿地8处，启动建设梦想花海主题公园。做优“三供两治一业”服务，集中清理整治城区和农场违建，系统整治占道经营、乱停乱放等“城市顽疾”，推动市容环境持续改善。深化“空中飞线”治理，创建“干净无线”示范小区10个。开展“十字路口”治理行动，有序消除电闸箱占位、信号灯遮挡等突出问题，优化路口通行秩序，保障市民平安出行。</w:t>
      </w: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注重城市风貌塑造。</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实施“一街一景”绿化品质提升工程，升级改造中心广场，加强历史建筑保护利用，启动拉哈苏苏文化街区创建，将赫哲文化、口岸元素植入城市街景，打造文脉赓续的魅力城市。</w:t>
      </w:r>
      <w:r>
        <w:rPr>
          <w:rFonts w:hint="default" w:ascii="Times New Roman" w:hAnsi="Times New Roman" w:eastAsia="仿宋_GB2312" w:cs="Times New Roman"/>
          <w:b/>
          <w:bCs/>
          <w:i w:val="0"/>
          <w:iCs w:val="0"/>
          <w:caps w:val="0"/>
          <w:color w:val="auto"/>
          <w:spacing w:val="0"/>
          <w:kern w:val="0"/>
          <w:sz w:val="32"/>
          <w:szCs w:val="32"/>
          <w:highlight w:val="none"/>
          <w:u w:val="none" w:color="auto"/>
          <w:shd w:val="clear" w:color="auto" w:fill="FFFFFF"/>
          <w:lang w:val="en-US" w:eastAsia="zh-CN" w:bidi="ar"/>
        </w:rPr>
        <w:t>注重生态环境保护。</w:t>
      </w:r>
      <w:r>
        <w:rPr>
          <w:rFonts w:hint="default" w:ascii="Times New Roman" w:hAnsi="Times New Roman" w:eastAsia="仿宋_GB2312" w:cs="Times New Roman"/>
          <w:b w:val="0"/>
          <w:bCs w:val="0"/>
          <w:i w:val="0"/>
          <w:iCs w:val="0"/>
          <w:caps w:val="0"/>
          <w:color w:val="auto"/>
          <w:spacing w:val="0"/>
          <w:kern w:val="0"/>
          <w:sz w:val="32"/>
          <w:szCs w:val="32"/>
          <w:highlight w:val="none"/>
          <w:u w:val="none" w:color="auto"/>
          <w:shd w:val="clear" w:color="auto" w:fill="FFFFFF"/>
          <w:lang w:val="en-US" w:eastAsia="zh-CN" w:bidi="ar"/>
        </w:rPr>
        <w:t>统筹“山水林田湖草沙冰”一体化保护治理，打好蓝天、碧水、净土保卫战，全面取缔城区地源热泵，全面清理城区内畜禽养殖，统筹抓好秸秆禁烧管控、废弃矿山修复等工作，大力整改中央、省级生态环境保护督察反馈问题，推动生态环境持续向好转变。</w:t>
      </w:r>
    </w:p>
    <w:p w14:paraId="67B3C0B8">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sz w:val="32"/>
          <w:szCs w:val="32"/>
          <w:highlight w:val="none"/>
          <w:u w:val="none" w:color="auto"/>
          <w:lang w:val="en-US" w:eastAsia="zh-CN"/>
        </w:rPr>
        <w:t>(六)坚持以更浓情怀打造品质民生。</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紧扣民生关切，用心用情用力解决群众急难愁盼问题，让群众生活越来越舒心、日子越过越幸福。</w:t>
      </w:r>
      <w:r>
        <w:rPr>
          <w:rFonts w:hint="default" w:ascii="Times New Roman" w:hAnsi="Times New Roman" w:eastAsia="仿宋_GB2312" w:cs="Times New Roman"/>
          <w:b/>
          <w:bCs/>
          <w:color w:val="auto"/>
          <w:kern w:val="2"/>
          <w:sz w:val="32"/>
          <w:szCs w:val="32"/>
          <w:highlight w:val="none"/>
          <w:u w:val="none" w:color="auto"/>
          <w:lang w:val="en-US" w:eastAsia="zh-CN" w:bidi="ar-SA"/>
        </w:rPr>
        <w:t>完善公共服务体系。</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深入实施就业优先战略，积极培育新职业新岗位。实施新时代立德树人工程，扩大体育、美育、劳动教育比重。优化整合教育资源，谋划建设寄宿制学校，推动同江边境职业学院建设，</w:t>
      </w:r>
      <w:r>
        <w:rPr>
          <w:rFonts w:hint="default" w:ascii="Times New Roman" w:hAnsi="Times New Roman" w:eastAsia="仿宋_GB2312" w:cs="Times New Roman"/>
          <w:color w:val="auto"/>
          <w:kern w:val="2"/>
          <w:sz w:val="32"/>
          <w:szCs w:val="32"/>
          <w:highlight w:val="none"/>
          <w:u w:val="none" w:color="auto"/>
          <w:lang w:val="en-US" w:eastAsia="zh-CN" w:bidi="ar-SA"/>
        </w:rPr>
        <w:t>积极筹办全国青少年俄语口语大赛、商务俄语挑战赛，</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打造“同江俄语”品牌。</w:t>
      </w:r>
      <w:r>
        <w:rPr>
          <w:rFonts w:hint="default" w:ascii="Times New Roman" w:hAnsi="Times New Roman" w:eastAsia="仿宋_GB2312" w:cs="Times New Roman"/>
          <w:color w:val="auto"/>
          <w:sz w:val="32"/>
          <w:szCs w:val="32"/>
          <w:highlight w:val="none"/>
          <w:u w:val="none" w:color="auto"/>
          <w:lang w:val="en-US" w:eastAsia="zh-CN"/>
        </w:rPr>
        <w:t>优化医疗资源配置，开展医疗质量提升行动，加强医联体、医共体建设，稳步推进“智慧医院”建设，织密织牢居民健康保障网。强化困难特殊群体服务保障，健全社会救助体系。</w:t>
      </w:r>
      <w:r>
        <w:rPr>
          <w:rFonts w:hint="default" w:ascii="Times New Roman" w:hAnsi="Times New Roman" w:eastAsia="仿宋_GB2312" w:cs="Times New Roman"/>
          <w:b/>
          <w:bCs/>
          <w:color w:val="auto"/>
          <w:kern w:val="2"/>
          <w:sz w:val="32"/>
          <w:szCs w:val="32"/>
          <w:highlight w:val="none"/>
          <w:u w:val="none" w:color="auto"/>
          <w:lang w:val="en-US" w:eastAsia="zh-CN" w:bidi="ar-SA"/>
        </w:rPr>
        <w:t>维护社会大局稳定。</w:t>
      </w:r>
      <w:r>
        <w:rPr>
          <w:rFonts w:hint="default" w:ascii="Times New Roman" w:hAnsi="Times New Roman" w:eastAsia="仿宋_GB2312" w:cs="Times New Roman"/>
          <w:color w:val="auto"/>
          <w:kern w:val="2"/>
          <w:sz w:val="32"/>
          <w:szCs w:val="32"/>
          <w:highlight w:val="none"/>
          <w:u w:val="none" w:color="auto"/>
          <w:lang w:val="en-US" w:eastAsia="zh-CN" w:bidi="ar-SA"/>
        </w:rPr>
        <w:t>打好安全生产治本攻坚三年行动收官战，加快推进综合减灾社区建设标准化试点工作，持续提升防灾减灾和应急救援能力。深化城乡联治、村社共管，在社区设立</w:t>
      </w:r>
      <w:r>
        <w:rPr>
          <w:rFonts w:hint="default" w:ascii="Times New Roman" w:hAnsi="Times New Roman" w:eastAsia="仿宋_GB2312" w:cs="Times New Roman"/>
          <w:color w:val="auto"/>
          <w:sz w:val="32"/>
          <w:szCs w:val="32"/>
          <w:highlight w:val="none"/>
          <w:u w:val="none" w:color="auto"/>
          <w:lang w:val="en-US" w:eastAsia="zh-CN"/>
        </w:rPr>
        <w:t>农村便民服务站，</w:t>
      </w:r>
      <w:r>
        <w:rPr>
          <w:rFonts w:hint="default" w:ascii="Times New Roman" w:hAnsi="Times New Roman" w:eastAsia="仿宋_GB2312" w:cs="Times New Roman"/>
          <w:color w:val="auto"/>
          <w:kern w:val="2"/>
          <w:sz w:val="32"/>
          <w:szCs w:val="32"/>
          <w:highlight w:val="none"/>
          <w:u w:val="none" w:color="auto"/>
          <w:lang w:val="en-US" w:eastAsia="zh-CN" w:bidi="ar-SA"/>
        </w:rPr>
        <w:t>推动乡镇办公人员、服务事项入驻社区</w:t>
      </w:r>
      <w:r>
        <w:rPr>
          <w:rFonts w:hint="default" w:ascii="Times New Roman" w:hAnsi="Times New Roman" w:eastAsia="仿宋_GB2312" w:cs="Times New Roman"/>
          <w:color w:val="auto"/>
          <w:sz w:val="32"/>
          <w:szCs w:val="32"/>
          <w:highlight w:val="none"/>
          <w:u w:val="none" w:color="auto"/>
          <w:lang w:val="en-US" w:eastAsia="zh-CN"/>
        </w:rPr>
        <w:t>，构建城乡共治新格局。</w:t>
      </w:r>
      <w:r>
        <w:rPr>
          <w:rFonts w:hint="default" w:ascii="Times New Roman" w:hAnsi="Times New Roman" w:eastAsia="仿宋_GB2312" w:cs="Times New Roman"/>
          <w:color w:val="auto"/>
          <w:kern w:val="2"/>
          <w:sz w:val="32"/>
          <w:szCs w:val="32"/>
          <w:highlight w:val="none"/>
          <w:u w:val="none" w:color="auto"/>
          <w:lang w:val="en-US" w:eastAsia="zh-CN" w:bidi="ar-SA"/>
        </w:rPr>
        <w:t>坚持和发展新时代“枫桥经验”，发挥综治中心联调共治作用，建立基层警司一体联动解纷机制，成立农村土地、城建规划领域攻坚专班，全面提升矛盾调处、案件受理、办理答复法治化水平。压实信访属地主体责任，落实首问负责制、全程跟办制，推动问题化解在乡镇村屯、街道(农场)社区。</w:t>
      </w:r>
      <w:r>
        <w:rPr>
          <w:rFonts w:hint="default" w:ascii="Times New Roman" w:hAnsi="Times New Roman" w:eastAsia="仿宋_GB2312" w:cs="Times New Roman"/>
          <w:color w:val="auto"/>
          <w:sz w:val="32"/>
          <w:szCs w:val="32"/>
          <w:highlight w:val="none"/>
          <w:u w:val="none" w:color="auto"/>
          <w:lang w:val="en-US" w:eastAsia="zh-CN"/>
        </w:rPr>
        <w:t>铸牢中华民族共同体意识，</w:t>
      </w:r>
      <w:r>
        <w:rPr>
          <w:rFonts w:hint="default" w:ascii="Times New Roman" w:hAnsi="Times New Roman" w:eastAsia="仿宋_GB2312" w:cs="Times New Roman"/>
          <w:color w:val="auto"/>
          <w:kern w:val="2"/>
          <w:sz w:val="32"/>
          <w:szCs w:val="32"/>
          <w:highlight w:val="none"/>
          <w:u w:val="none" w:color="auto"/>
          <w:lang w:val="en-US" w:eastAsia="zh-CN" w:bidi="ar-SA"/>
        </w:rPr>
        <w:t>拓展党政军警民合力治边效能，加强国防动员和后备力量建设，</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持续巩固民族团结、边疆稳固、社会和顺良好局面。</w:t>
      </w:r>
    </w:p>
    <w:p w14:paraId="3F281193">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bCs/>
          <w:color w:val="auto"/>
          <w:kern w:val="2"/>
          <w:sz w:val="32"/>
          <w:szCs w:val="32"/>
          <w:highlight w:val="none"/>
          <w:u w:val="none" w:color="auto"/>
          <w:lang w:val="en-US" w:eastAsia="zh-CN" w:bidi="ar-SA"/>
        </w:rPr>
        <w:t>全力办好5个方面18个领域49件民生实事。</w:t>
      </w:r>
      <w:r>
        <w:rPr>
          <w:rFonts w:hint="default" w:ascii="Times New Roman" w:hAnsi="Times New Roman" w:eastAsia="楷体_GB2312" w:cs="Times New Roman"/>
          <w:b/>
          <w:bCs/>
          <w:color w:val="auto"/>
          <w:sz w:val="32"/>
          <w:szCs w:val="32"/>
          <w:highlight w:val="none"/>
          <w:u w:val="none" w:color="auto"/>
          <w:lang w:val="en-US" w:eastAsia="zh-CN"/>
        </w:rPr>
        <w:t>努力让居住环境更加安全舒适。</w:t>
      </w:r>
      <w:r>
        <w:rPr>
          <w:rFonts w:hint="default" w:ascii="Times New Roman" w:hAnsi="Times New Roman" w:eastAsia="仿宋_GB2312" w:cs="Times New Roman"/>
          <w:b/>
          <w:bCs/>
          <w:color w:val="auto"/>
          <w:sz w:val="32"/>
          <w:szCs w:val="32"/>
          <w:highlight w:val="none"/>
          <w:u w:val="none" w:color="auto"/>
          <w:lang w:val="en-US" w:eastAsia="zh-CN"/>
        </w:rPr>
        <w:t>①全面提升居住品质，</w:t>
      </w:r>
      <w:r>
        <w:rPr>
          <w:rFonts w:hint="default" w:ascii="Times New Roman" w:hAnsi="Times New Roman" w:eastAsia="仿宋_GB2312" w:cs="Times New Roman"/>
          <w:color w:val="auto"/>
          <w:sz w:val="32"/>
          <w:szCs w:val="32"/>
          <w:highlight w:val="none"/>
          <w:u w:val="none" w:color="auto"/>
          <w:lang w:val="en-US" w:eastAsia="zh-CN"/>
        </w:rPr>
        <w:t>改造老旧小区7个，修复44个小区楼体墙面，改造40个小区60栋楼体“冷山”供热管网。实施“清单式”物业服务，强化物业企业评定</w:t>
      </w:r>
      <w:r>
        <w:rPr>
          <w:rFonts w:hint="default" w:ascii="Times New Roman" w:hAnsi="Times New Roman" w:eastAsia="仿宋_GB2312" w:cs="Times New Roman"/>
          <w:i w:val="0"/>
          <w:iCs w:val="0"/>
          <w:color w:val="auto"/>
          <w:sz w:val="32"/>
          <w:szCs w:val="32"/>
          <w:highlight w:val="none"/>
          <w:u w:val="none" w:color="auto"/>
          <w:lang w:val="en-US" w:eastAsia="zh-CN"/>
        </w:rPr>
        <w:t>，推行服务收费与评定挂钩，</w:t>
      </w:r>
      <w:r>
        <w:rPr>
          <w:rFonts w:hint="default" w:ascii="Times New Roman" w:hAnsi="Times New Roman" w:eastAsia="仿宋_GB2312" w:cs="Times New Roman"/>
          <w:color w:val="auto"/>
          <w:sz w:val="32"/>
          <w:szCs w:val="32"/>
          <w:highlight w:val="none"/>
          <w:u w:val="none" w:color="auto"/>
          <w:lang w:val="en-US" w:eastAsia="zh-CN"/>
        </w:rPr>
        <w:t>打造物业服务标杆小区10个。</w:t>
      </w:r>
      <w:r>
        <w:rPr>
          <w:rFonts w:hint="default" w:ascii="Times New Roman" w:hAnsi="Times New Roman" w:eastAsia="仿宋_GB2312" w:cs="Times New Roman"/>
          <w:b/>
          <w:bCs/>
          <w:color w:val="auto"/>
          <w:sz w:val="32"/>
          <w:szCs w:val="32"/>
          <w:highlight w:val="none"/>
          <w:u w:val="none" w:color="auto"/>
          <w:lang w:val="en-US" w:eastAsia="zh-CN"/>
        </w:rPr>
        <w:t>②完善保障性住房分配制度，</w:t>
      </w:r>
      <w:r>
        <w:rPr>
          <w:rFonts w:hint="default" w:ascii="Times New Roman" w:hAnsi="Times New Roman" w:eastAsia="仿宋_GB2312" w:cs="Times New Roman"/>
          <w:color w:val="auto"/>
          <w:sz w:val="32"/>
          <w:szCs w:val="32"/>
          <w:highlight w:val="none"/>
          <w:u w:val="none" w:color="auto"/>
          <w:lang w:val="en-US" w:eastAsia="zh-CN"/>
        </w:rPr>
        <w:t>优先保障行动不便等重点群体住上电梯房和低层住房。强化“越冬保障”，探索“猫冬房”“旅居房”房源供给，让农村老年人、困难群众进城安全越冬。</w:t>
      </w:r>
      <w:r>
        <w:rPr>
          <w:rFonts w:hint="default" w:ascii="Times New Roman" w:hAnsi="Times New Roman" w:eastAsia="仿宋_GB2312" w:cs="Times New Roman"/>
          <w:b/>
          <w:bCs/>
          <w:color w:val="auto"/>
          <w:sz w:val="32"/>
          <w:szCs w:val="32"/>
          <w:highlight w:val="none"/>
          <w:u w:val="none" w:color="auto"/>
          <w:lang w:val="en-US" w:eastAsia="zh-CN"/>
        </w:rPr>
        <w:t>③加强房屋安全管理，</w:t>
      </w:r>
      <w:r>
        <w:rPr>
          <w:rFonts w:hint="default" w:ascii="Times New Roman" w:hAnsi="Times New Roman" w:eastAsia="仿宋_GB2312" w:cs="Times New Roman"/>
          <w:color w:val="auto"/>
          <w:sz w:val="32"/>
          <w:szCs w:val="32"/>
          <w:highlight w:val="none"/>
          <w:u w:val="none" w:color="auto"/>
          <w:lang w:val="en-US" w:eastAsia="zh-CN"/>
        </w:rPr>
        <w:t>实现全市409部住房电梯手机信号全覆盖，为多层住宅2549个单元安装电动自行车阻车系统，分批推进老旧小区电路改造。全面消除城区危房安全隐患，开展群租楼“清楼”行动，推动全市6个群租楼居民逐步迁入“新居”。</w:t>
      </w:r>
      <w:r>
        <w:rPr>
          <w:rFonts w:hint="default" w:ascii="Times New Roman" w:hAnsi="Times New Roman" w:eastAsia="楷体_GB2312" w:cs="Times New Roman"/>
          <w:b/>
          <w:bCs/>
          <w:color w:val="auto"/>
          <w:sz w:val="32"/>
          <w:szCs w:val="32"/>
          <w:highlight w:val="none"/>
          <w:u w:val="none" w:color="auto"/>
          <w:lang w:val="en-US" w:eastAsia="zh-CN"/>
        </w:rPr>
        <w:t>努力让交通出行更加便捷高效。</w:t>
      </w:r>
      <w:r>
        <w:rPr>
          <w:rFonts w:hint="default" w:ascii="Times New Roman" w:hAnsi="Times New Roman" w:eastAsia="仿宋_GB2312" w:cs="Times New Roman"/>
          <w:b/>
          <w:bCs/>
          <w:color w:val="auto"/>
          <w:sz w:val="32"/>
          <w:szCs w:val="32"/>
          <w:highlight w:val="none"/>
          <w:u w:val="none" w:color="auto"/>
          <w:lang w:val="en-US" w:eastAsia="zh-CN"/>
        </w:rPr>
        <w:t>④扩大车位供给，</w:t>
      </w:r>
      <w:r>
        <w:rPr>
          <w:rFonts w:hint="default" w:ascii="Times New Roman" w:hAnsi="Times New Roman" w:eastAsia="仿宋_GB2312" w:cs="Times New Roman"/>
          <w:color w:val="auto"/>
          <w:sz w:val="32"/>
          <w:szCs w:val="32"/>
          <w:highlight w:val="none"/>
          <w:u w:val="none" w:color="auto"/>
          <w:lang w:val="en-US" w:eastAsia="zh-CN"/>
        </w:rPr>
        <w:t>增设小型车辆停车场5处、停车泊位150个。开发地下停车场1处，探索建设公共车库，让车辆住上“暖房子”。</w:t>
      </w:r>
      <w:r>
        <w:rPr>
          <w:rFonts w:hint="default" w:ascii="Times New Roman" w:hAnsi="Times New Roman" w:eastAsia="仿宋_GB2312" w:cs="Times New Roman"/>
          <w:b/>
          <w:bCs/>
          <w:color w:val="auto"/>
          <w:sz w:val="32"/>
          <w:szCs w:val="32"/>
          <w:highlight w:val="none"/>
          <w:u w:val="none" w:color="auto"/>
          <w:lang w:val="en-US" w:eastAsia="zh-CN"/>
        </w:rPr>
        <w:t>⑤扩大充电桩供给，</w:t>
      </w:r>
      <w:r>
        <w:rPr>
          <w:rFonts w:hint="default" w:ascii="Times New Roman" w:hAnsi="Times New Roman" w:eastAsia="仿宋_GB2312" w:cs="Times New Roman"/>
          <w:color w:val="auto"/>
          <w:sz w:val="32"/>
          <w:szCs w:val="32"/>
          <w:highlight w:val="none"/>
          <w:u w:val="none" w:color="auto"/>
          <w:lang w:val="en-US" w:eastAsia="zh-CN"/>
        </w:rPr>
        <w:t>新建公共新能源汽车充电桩30个、电动自行车充电端口300个，做好民用充电桩安装审批工作，满足群众充电需求。</w:t>
      </w:r>
      <w:r>
        <w:rPr>
          <w:rFonts w:hint="default" w:ascii="Times New Roman" w:hAnsi="Times New Roman" w:eastAsia="仿宋_GB2312" w:cs="Times New Roman"/>
          <w:b/>
          <w:bCs/>
          <w:color w:val="auto"/>
          <w:sz w:val="32"/>
          <w:szCs w:val="32"/>
          <w:highlight w:val="none"/>
          <w:u w:val="none" w:color="auto"/>
          <w:lang w:val="en-US" w:eastAsia="zh-CN"/>
        </w:rPr>
        <w:t>⑥整顿交通秩序，</w:t>
      </w:r>
      <w:r>
        <w:rPr>
          <w:rFonts w:hint="default" w:ascii="Times New Roman" w:hAnsi="Times New Roman" w:eastAsia="仿宋_GB2312" w:cs="Times New Roman"/>
          <w:color w:val="auto"/>
          <w:sz w:val="32"/>
          <w:szCs w:val="32"/>
          <w:highlight w:val="none"/>
          <w:u w:val="none" w:color="auto"/>
          <w:lang w:val="en-US" w:eastAsia="zh-CN"/>
        </w:rPr>
        <w:t>优先保障行人安全，推进城区交通信号灯适老化配时，增设人流密集区“高峰疏导岗”，集中整治学校、市场、大型商超周边重点区域和上下班、上下学等重点时段交通秩序，打造2条示范街、严管街。深化开展“二手车”“僵尸车”占位、不文明交通行为专项整治行动，守护群众出行安全。</w:t>
      </w:r>
      <w:r>
        <w:rPr>
          <w:rFonts w:hint="default" w:ascii="Times New Roman" w:hAnsi="Times New Roman" w:eastAsia="仿宋_GB2312" w:cs="Times New Roman"/>
          <w:b/>
          <w:bCs/>
          <w:color w:val="auto"/>
          <w:sz w:val="32"/>
          <w:szCs w:val="32"/>
          <w:highlight w:val="none"/>
          <w:u w:val="none" w:color="auto"/>
          <w:lang w:val="en-US" w:eastAsia="zh-CN"/>
        </w:rPr>
        <w:t>⑦提升公交服务品质，</w:t>
      </w:r>
      <w:r>
        <w:rPr>
          <w:rFonts w:hint="default" w:ascii="Times New Roman" w:hAnsi="Times New Roman" w:eastAsia="仿宋_GB2312" w:cs="Times New Roman"/>
          <w:color w:val="auto"/>
          <w:sz w:val="32"/>
          <w:szCs w:val="32"/>
          <w:highlight w:val="none"/>
          <w:u w:val="none" w:color="auto"/>
          <w:lang w:val="en-US" w:eastAsia="zh-CN"/>
        </w:rPr>
        <w:t>优化调整交通线路，逐步推进通江街公交站亭智能化改造，推行学生冬季免费乘车。</w:t>
      </w:r>
      <w:r>
        <w:rPr>
          <w:rFonts w:hint="default" w:ascii="Times New Roman" w:hAnsi="Times New Roman" w:eastAsia="楷体_GB2312" w:cs="Times New Roman"/>
          <w:b/>
          <w:bCs/>
          <w:color w:val="auto"/>
          <w:sz w:val="32"/>
          <w:szCs w:val="32"/>
          <w:highlight w:val="none"/>
          <w:u w:val="none" w:color="auto"/>
          <w:lang w:val="en-US" w:eastAsia="zh-CN"/>
        </w:rPr>
        <w:t>努力让特殊群体更加温暖舒心。</w:t>
      </w:r>
      <w:r>
        <w:rPr>
          <w:rFonts w:hint="default" w:ascii="Times New Roman" w:hAnsi="Times New Roman" w:eastAsia="仿宋_GB2312" w:cs="Times New Roman"/>
          <w:b/>
          <w:bCs/>
          <w:color w:val="auto"/>
          <w:sz w:val="32"/>
          <w:szCs w:val="32"/>
          <w:highlight w:val="none"/>
          <w:u w:val="none" w:color="auto"/>
          <w:lang w:val="en-US" w:eastAsia="zh-CN"/>
        </w:rPr>
        <w:t>⑧强化生育服务保障</w:t>
      </w:r>
      <w:r>
        <w:rPr>
          <w:rFonts w:hint="default" w:ascii="Times New Roman" w:hAnsi="Times New Roman" w:eastAsia="仿宋_GB2312" w:cs="Times New Roman"/>
          <w:color w:val="auto"/>
          <w:sz w:val="32"/>
          <w:szCs w:val="32"/>
          <w:highlight w:val="none"/>
          <w:u w:val="none" w:color="auto"/>
          <w:lang w:val="en-US" w:eastAsia="zh-CN"/>
        </w:rPr>
        <w:t>，增设孕检四维彩超、NT等检查项目，让孕妇在“家门口”享受优惠筛查服务。</w:t>
      </w:r>
      <w:r>
        <w:rPr>
          <w:rFonts w:hint="default" w:ascii="Times New Roman" w:hAnsi="Times New Roman" w:eastAsia="仿宋_GB2312" w:cs="Times New Roman"/>
          <w:color w:val="auto"/>
          <w:sz w:val="32"/>
          <w:szCs w:val="32"/>
          <w:highlight w:val="none"/>
          <w:u w:val="none" w:color="auto"/>
        </w:rPr>
        <w:t>建</w:t>
      </w:r>
      <w:r>
        <w:rPr>
          <w:rFonts w:hint="default" w:ascii="Times New Roman" w:hAnsi="Times New Roman" w:eastAsia="仿宋_GB2312" w:cs="Times New Roman"/>
          <w:color w:val="auto"/>
          <w:sz w:val="32"/>
          <w:szCs w:val="32"/>
          <w:highlight w:val="none"/>
          <w:u w:val="none" w:color="auto"/>
          <w:lang w:eastAsia="zh-CN"/>
        </w:rPr>
        <w:t>成</w:t>
      </w:r>
      <w:r>
        <w:rPr>
          <w:rFonts w:hint="default" w:ascii="Times New Roman" w:hAnsi="Times New Roman" w:eastAsia="仿宋_GB2312" w:cs="Times New Roman"/>
          <w:color w:val="auto"/>
          <w:sz w:val="32"/>
          <w:szCs w:val="32"/>
          <w:highlight w:val="none"/>
          <w:u w:val="none" w:color="auto"/>
        </w:rPr>
        <w:t>托育综合服务中心，</w:t>
      </w:r>
      <w:r>
        <w:rPr>
          <w:rFonts w:hint="default" w:ascii="Times New Roman" w:hAnsi="Times New Roman" w:eastAsia="仿宋_GB2312" w:cs="Times New Roman"/>
          <w:color w:val="auto"/>
          <w:sz w:val="32"/>
          <w:szCs w:val="32"/>
          <w:highlight w:val="none"/>
          <w:u w:val="none" w:color="auto"/>
          <w:lang w:val="en-US" w:eastAsia="zh-CN"/>
        </w:rPr>
        <w:t>设置</w:t>
      </w:r>
      <w:r>
        <w:rPr>
          <w:rFonts w:hint="default" w:ascii="Times New Roman" w:hAnsi="Times New Roman" w:eastAsia="仿宋_GB2312" w:cs="Times New Roman"/>
          <w:color w:val="auto"/>
          <w:sz w:val="32"/>
          <w:szCs w:val="32"/>
          <w:highlight w:val="none"/>
          <w:u w:val="none" w:color="auto"/>
        </w:rPr>
        <w:t>普惠托位130个</w:t>
      </w:r>
      <w:r>
        <w:rPr>
          <w:rFonts w:hint="default" w:ascii="Times New Roman" w:hAnsi="Times New Roman" w:eastAsia="仿宋_GB2312" w:cs="Times New Roman"/>
          <w:color w:val="auto"/>
          <w:sz w:val="32"/>
          <w:szCs w:val="32"/>
          <w:highlight w:val="none"/>
          <w:u w:val="none" w:color="auto"/>
          <w:lang w:eastAsia="zh-CN"/>
        </w:rPr>
        <w:t>，推行托育补贴，减轻家庭“带娃”负担</w:t>
      </w:r>
      <w:r>
        <w:rPr>
          <w:rFonts w:hint="default"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楷体_GB2312" w:cs="Times New Roman"/>
          <w:b/>
          <w:bCs/>
          <w:color w:val="auto"/>
          <w:sz w:val="32"/>
          <w:szCs w:val="32"/>
          <w:highlight w:val="none"/>
          <w:u w:val="none" w:color="auto"/>
          <w:lang w:val="en-US" w:eastAsia="zh-CN"/>
        </w:rPr>
        <w:t>⑨</w:t>
      </w:r>
      <w:r>
        <w:rPr>
          <w:rFonts w:hint="default" w:ascii="Times New Roman" w:hAnsi="Times New Roman" w:eastAsia="仿宋_GB2312" w:cs="Times New Roman"/>
          <w:b/>
          <w:bCs/>
          <w:color w:val="auto"/>
          <w:sz w:val="32"/>
          <w:szCs w:val="32"/>
          <w:highlight w:val="none"/>
          <w:u w:val="none" w:color="auto"/>
          <w:lang w:val="en-US" w:eastAsia="zh-CN"/>
        </w:rPr>
        <w:t>关心关爱困难群体，</w:t>
      </w:r>
      <w:r>
        <w:rPr>
          <w:rFonts w:hint="default" w:ascii="Times New Roman" w:hAnsi="Times New Roman" w:eastAsia="仿宋_GB2312" w:cs="Times New Roman"/>
          <w:color w:val="auto"/>
          <w:sz w:val="32"/>
          <w:szCs w:val="32"/>
          <w:highlight w:val="none"/>
          <w:u w:val="none" w:color="auto"/>
          <w:lang w:val="en-US" w:eastAsia="zh-CN"/>
        </w:rPr>
        <w:t>为行动不便困难群体提供社保证件办理等集成式入户服务，实施困难重度残疾人家庭无障碍改造100户，将残疾儿童康复救助年龄范围由0-6岁扩大至0-9岁，为三级精神、三级智力残疾低保对象增发15%低保金。建立留守老人定期帮扶机制，推动助老服务公益岗行政村全覆盖，鼓励农村留守儿童进城就学，让留守老人生活有关照、让留守儿童成长有陪伴。</w:t>
      </w:r>
      <w:r>
        <w:rPr>
          <w:rFonts w:hint="default" w:ascii="Times New Roman" w:hAnsi="Times New Roman" w:eastAsia="楷体_GB2312" w:cs="Times New Roman"/>
          <w:b/>
          <w:bCs/>
          <w:color w:val="auto"/>
          <w:sz w:val="32"/>
          <w:szCs w:val="32"/>
          <w:highlight w:val="none"/>
          <w:u w:val="none" w:color="auto"/>
          <w:lang w:val="en-US" w:eastAsia="zh-CN"/>
        </w:rPr>
        <w:t>努力让公共服务更加普惠便捷。</w:t>
      </w:r>
      <w:r>
        <w:rPr>
          <w:rFonts w:hint="default" w:ascii="Times New Roman" w:hAnsi="Times New Roman" w:eastAsia="仿宋_GB2312" w:cs="Times New Roman"/>
          <w:b/>
          <w:bCs/>
          <w:color w:val="auto"/>
          <w:sz w:val="32"/>
          <w:szCs w:val="32"/>
          <w:highlight w:val="none"/>
          <w:u w:val="none" w:color="auto"/>
          <w:lang w:val="en-US" w:eastAsia="zh-CN"/>
        </w:rPr>
        <w:t>⑩优化调整部分街道社区布局，</w:t>
      </w:r>
      <w:r>
        <w:rPr>
          <w:rFonts w:hint="default" w:ascii="Times New Roman" w:hAnsi="Times New Roman" w:eastAsia="仿宋_GB2312" w:cs="Times New Roman"/>
          <w:color w:val="auto"/>
          <w:sz w:val="32"/>
          <w:szCs w:val="32"/>
          <w:highlight w:val="none"/>
          <w:u w:val="none" w:color="auto"/>
          <w:lang w:val="en-US" w:eastAsia="zh-CN"/>
        </w:rPr>
        <w:t>新增社区活动场所3处2100㎡以上，改建养老服务场所5处，建设“完整社区”示范点1个，打造“一刻钟便民生活圈”。</w:t>
      </w:r>
      <w:r>
        <w:rPr>
          <w:rFonts w:hint="default" w:ascii="Times New Roman" w:hAnsi="Times New Roman" w:eastAsia="仿宋_GB2312" w:cs="Times New Roman"/>
          <w:b/>
          <w:bCs/>
          <w:color w:val="auto"/>
          <w:sz w:val="32"/>
          <w:szCs w:val="32"/>
          <w:highlight w:val="none"/>
          <w:u w:val="none" w:color="auto"/>
          <w:lang w:val="en-US" w:eastAsia="zh-CN"/>
        </w:rPr>
        <w:t>⑪守护学生“身心健康”，</w:t>
      </w:r>
      <w:r>
        <w:rPr>
          <w:rFonts w:hint="default" w:ascii="Times New Roman" w:hAnsi="Times New Roman" w:eastAsia="仿宋_GB2312" w:cs="Times New Roman"/>
          <w:color w:val="auto"/>
          <w:sz w:val="32"/>
          <w:szCs w:val="32"/>
          <w:highlight w:val="none"/>
          <w:u w:val="none" w:color="auto"/>
          <w:lang w:val="en-US" w:eastAsia="zh-CN"/>
        </w:rPr>
        <w:t>落实教育部“心理健康十条措施”，全面实行师生心理健康管理。增设校园体育设施，丰富在校生文体活动，优化课后服务供给，确保学生每日体育活动时间2.4小时以上，推动全市中小学生近视率、肥胖检出率分别下降0.5%、1.5%以上。</w:t>
      </w:r>
      <w:r>
        <w:rPr>
          <w:rFonts w:hint="default" w:ascii="Times New Roman" w:hAnsi="Times New Roman" w:eastAsia="仿宋_GB2312" w:cs="Times New Roman"/>
          <w:b/>
          <w:bCs/>
          <w:color w:val="auto"/>
          <w:sz w:val="32"/>
          <w:szCs w:val="32"/>
          <w:highlight w:val="none"/>
          <w:u w:val="none" w:color="auto"/>
          <w:lang w:val="en-US" w:eastAsia="zh-CN"/>
        </w:rPr>
        <w:t>⑫提升医疗服务质量，</w:t>
      </w:r>
      <w:r>
        <w:rPr>
          <w:rFonts w:hint="default" w:ascii="Times New Roman" w:hAnsi="Times New Roman" w:eastAsia="仿宋_GB2312" w:cs="Times New Roman"/>
          <w:b w:val="0"/>
          <w:bCs w:val="0"/>
          <w:color w:val="auto"/>
          <w:sz w:val="32"/>
          <w:szCs w:val="32"/>
          <w:highlight w:val="none"/>
          <w:u w:val="none" w:color="auto"/>
          <w:lang w:val="en-US" w:eastAsia="zh-CN"/>
        </w:rPr>
        <w:t>建立120调度中心，新建农场</w:t>
      </w:r>
      <w:r>
        <w:rPr>
          <w:rFonts w:hint="default" w:ascii="Times New Roman" w:hAnsi="Times New Roman" w:eastAsia="仿宋_GB2312" w:cs="Times New Roman"/>
          <w:color w:val="auto"/>
          <w:sz w:val="32"/>
          <w:szCs w:val="32"/>
          <w:highlight w:val="none"/>
          <w:u w:val="none" w:color="auto"/>
          <w:lang w:val="en-US" w:eastAsia="zh-CN"/>
        </w:rPr>
        <w:t>120急救分站2处，畅通急救“生命线”。为适龄女生免费接种二价HPV疫苗。为65岁及以上老年人免费开展脑卒中筛查。优化增设医保便民购药服务点。</w:t>
      </w:r>
      <w:r>
        <w:rPr>
          <w:rFonts w:hint="default" w:ascii="Times New Roman" w:hAnsi="Times New Roman" w:eastAsia="仿宋_GB2312" w:cs="Times New Roman"/>
          <w:b/>
          <w:bCs/>
          <w:color w:val="auto"/>
          <w:sz w:val="32"/>
          <w:szCs w:val="32"/>
          <w:highlight w:val="none"/>
          <w:u w:val="none" w:color="auto"/>
          <w:lang w:val="en-US" w:eastAsia="zh-CN"/>
        </w:rPr>
        <w:t>⑬注重就业服务保障，</w:t>
      </w:r>
      <w:r>
        <w:rPr>
          <w:rFonts w:hint="default" w:ascii="Times New Roman" w:hAnsi="Times New Roman" w:eastAsia="仿宋_GB2312" w:cs="Times New Roman"/>
          <w:color w:val="auto"/>
          <w:sz w:val="32"/>
          <w:szCs w:val="32"/>
          <w:highlight w:val="none"/>
          <w:u w:val="none" w:color="auto"/>
          <w:lang w:val="en-US" w:eastAsia="zh-CN"/>
        </w:rPr>
        <w:t>新增农贸市场及6个农场“家门口”就业服务站，推动就业服务网点向基层延伸。</w:t>
      </w:r>
      <w:r>
        <w:rPr>
          <w:rFonts w:hint="default" w:ascii="Times New Roman" w:hAnsi="Times New Roman" w:eastAsia="仿宋_GB2312" w:cs="Times New Roman"/>
          <w:b/>
          <w:bCs/>
          <w:color w:val="auto"/>
          <w:sz w:val="32"/>
          <w:szCs w:val="32"/>
          <w:highlight w:val="none"/>
          <w:u w:val="none" w:color="auto"/>
          <w:lang w:val="en-US" w:eastAsia="zh-CN"/>
        </w:rPr>
        <w:t>⑭强化社会服务保障，</w:t>
      </w:r>
      <w:r>
        <w:rPr>
          <w:rFonts w:hint="default" w:ascii="Times New Roman" w:hAnsi="Times New Roman" w:eastAsia="仿宋_GB2312" w:cs="Times New Roman"/>
          <w:color w:val="auto"/>
          <w:sz w:val="32"/>
          <w:szCs w:val="32"/>
          <w:highlight w:val="none"/>
          <w:u w:val="none" w:color="auto"/>
          <w:lang w:val="en-US" w:eastAsia="zh-CN"/>
        </w:rPr>
        <w:t>为在职职工提供医疗互助保障，支持灵活就业人员、新就业形态人员参加职工保险，推进城乡居民保险村集体补助试点全覆盖。</w:t>
      </w:r>
      <w:r>
        <w:rPr>
          <w:rFonts w:hint="default" w:ascii="Times New Roman" w:hAnsi="Times New Roman" w:eastAsia="仿宋_GB2312" w:cs="Times New Roman"/>
          <w:b/>
          <w:bCs/>
          <w:color w:val="auto"/>
          <w:sz w:val="32"/>
          <w:szCs w:val="32"/>
          <w:highlight w:val="none"/>
          <w:u w:val="none" w:color="auto"/>
          <w:lang w:val="en-US" w:eastAsia="zh-CN"/>
        </w:rPr>
        <w:t>⑮优化城市生活服务，</w:t>
      </w:r>
      <w:r>
        <w:rPr>
          <w:rFonts w:hint="default" w:ascii="Times New Roman" w:hAnsi="Times New Roman" w:eastAsia="仿宋_GB2312" w:cs="Times New Roman"/>
          <w:b w:val="0"/>
          <w:bCs w:val="0"/>
          <w:color w:val="auto"/>
          <w:sz w:val="32"/>
          <w:szCs w:val="32"/>
          <w:highlight w:val="none"/>
          <w:u w:val="none" w:color="auto"/>
          <w:lang w:val="en-US" w:eastAsia="zh-CN"/>
        </w:rPr>
        <w:t>新建城市档案馆，</w:t>
      </w:r>
      <w:r>
        <w:rPr>
          <w:rFonts w:hint="default" w:ascii="Times New Roman" w:hAnsi="Times New Roman" w:eastAsia="仿宋_GB2312" w:cs="Times New Roman"/>
          <w:color w:val="auto"/>
          <w:sz w:val="32"/>
          <w:szCs w:val="32"/>
          <w:highlight w:val="none"/>
          <w:u w:val="none" w:color="auto"/>
          <w:lang w:val="en-US" w:eastAsia="zh-CN"/>
        </w:rPr>
        <w:t>搭建“互联网+”不动产登记平台，实现不动产登记业务线上预约办理。统筹水电热气监管，更换智能水表17000块、智能燃气表5000块以上，实现水电热气线上智能缴费。</w:t>
      </w:r>
      <w:r>
        <w:rPr>
          <w:rFonts w:hint="default" w:ascii="Times New Roman" w:hAnsi="Times New Roman" w:eastAsia="楷体_GB2312" w:cs="Times New Roman"/>
          <w:b/>
          <w:bCs/>
          <w:color w:val="auto"/>
          <w:sz w:val="32"/>
          <w:szCs w:val="32"/>
          <w:highlight w:val="none"/>
          <w:u w:val="none" w:color="auto"/>
          <w:lang w:val="en-US" w:eastAsia="zh-CN"/>
        </w:rPr>
        <w:t>努力让群众生活更加多元美好。</w:t>
      </w:r>
      <w:r>
        <w:rPr>
          <w:rFonts w:hint="default" w:ascii="Times New Roman" w:hAnsi="Times New Roman" w:eastAsia="仿宋_GB2312" w:cs="Times New Roman"/>
          <w:b/>
          <w:bCs/>
          <w:color w:val="auto"/>
          <w:sz w:val="32"/>
          <w:szCs w:val="32"/>
          <w:highlight w:val="none"/>
          <w:u w:val="none" w:color="auto"/>
          <w:lang w:val="en-US" w:eastAsia="zh-CN"/>
        </w:rPr>
        <w:t>⑯拓展健身活动新空间，</w:t>
      </w:r>
      <w:r>
        <w:rPr>
          <w:rFonts w:hint="default" w:ascii="Times New Roman" w:hAnsi="Times New Roman" w:eastAsia="仿宋_GB2312" w:cs="Times New Roman"/>
          <w:strike w:val="0"/>
          <w:dstrike w:val="0"/>
          <w:color w:val="auto"/>
          <w:sz w:val="32"/>
          <w:szCs w:val="32"/>
          <w:highlight w:val="none"/>
          <w:u w:val="none" w:color="auto"/>
          <w:lang w:val="en-US" w:eastAsia="zh-CN"/>
        </w:rPr>
        <w:t>规划建设全民健身中心，</w:t>
      </w:r>
      <w:r>
        <w:rPr>
          <w:rFonts w:hint="default" w:ascii="Times New Roman" w:hAnsi="Times New Roman" w:eastAsia="仿宋_GB2312" w:cs="Times New Roman"/>
          <w:color w:val="auto"/>
          <w:sz w:val="32"/>
          <w:szCs w:val="32"/>
          <w:highlight w:val="none"/>
          <w:u w:val="none" w:color="auto"/>
          <w:lang w:val="en-US" w:eastAsia="zh-CN"/>
        </w:rPr>
        <w:t>推动全市体育场馆有序免费开放，打造“15分钟健身圈”。</w:t>
      </w:r>
      <w:r>
        <w:rPr>
          <w:rFonts w:hint="default" w:ascii="Times New Roman" w:hAnsi="Times New Roman" w:eastAsia="仿宋_GB2312" w:cs="Times New Roman"/>
          <w:b/>
          <w:bCs/>
          <w:color w:val="auto"/>
          <w:sz w:val="32"/>
          <w:szCs w:val="32"/>
          <w:highlight w:val="none"/>
          <w:u w:val="none" w:color="auto"/>
          <w:lang w:val="en-US" w:eastAsia="zh-CN"/>
        </w:rPr>
        <w:t>⑰打造休闲游玩新去处，</w:t>
      </w:r>
      <w:r>
        <w:rPr>
          <w:rFonts w:hint="default" w:ascii="Times New Roman" w:hAnsi="Times New Roman" w:eastAsia="仿宋_GB2312" w:cs="Times New Roman"/>
          <w:color w:val="auto"/>
          <w:sz w:val="32"/>
          <w:szCs w:val="32"/>
          <w:highlight w:val="none"/>
          <w:u w:val="none" w:color="auto"/>
          <w:lang w:val="en-US" w:eastAsia="zh-CN"/>
        </w:rPr>
        <w:t>在俄罗斯风情园、体育公园新建儿童游乐空间2处，新增儿童游乐设施36套，全面升级改造市图书馆、青少年活动中心。稳步推进农贸市场、早市夜市升级改造，打造城市烟火新地标。</w:t>
      </w:r>
      <w:r>
        <w:rPr>
          <w:rFonts w:hint="default" w:ascii="Times New Roman" w:hAnsi="Times New Roman" w:eastAsia="仿宋_GB2312" w:cs="Times New Roman"/>
          <w:b/>
          <w:bCs/>
          <w:color w:val="auto"/>
          <w:sz w:val="32"/>
          <w:szCs w:val="32"/>
          <w:highlight w:val="none"/>
          <w:u w:val="none" w:color="auto"/>
          <w:lang w:val="en-US" w:eastAsia="zh-CN"/>
        </w:rPr>
        <w:t>⑱推出文旅惠民新福利，</w:t>
      </w:r>
      <w:r>
        <w:rPr>
          <w:rFonts w:hint="default" w:ascii="Times New Roman" w:hAnsi="Times New Roman" w:eastAsia="仿宋_GB2312" w:cs="Times New Roman"/>
          <w:color w:val="auto"/>
          <w:sz w:val="32"/>
          <w:szCs w:val="32"/>
          <w:highlight w:val="none"/>
          <w:u w:val="none" w:color="auto"/>
          <w:lang w:val="en-US" w:eastAsia="zh-CN"/>
        </w:rPr>
        <w:t>开展“畅游同江”优惠活动，推行军人、警察、教师、医生、环卫工人免费游园，实行同江本地人景区半价优惠政策。</w:t>
      </w:r>
    </w:p>
    <w:p w14:paraId="042CEF2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r>
        <w:rPr>
          <w:rFonts w:hint="default" w:ascii="Times New Roman" w:hAnsi="Times New Roman" w:eastAsia="楷体_GB2312" w:cs="Times New Roman"/>
          <w:b/>
          <w:bCs/>
          <w:color w:val="auto"/>
          <w:sz w:val="32"/>
          <w:szCs w:val="32"/>
          <w:highlight w:val="none"/>
          <w:u w:val="none" w:color="auto"/>
          <w:lang w:val="en-US" w:eastAsia="zh-CN"/>
        </w:rPr>
        <w:t>(七)坚持以更严要求强化政府建设。</w:t>
      </w:r>
      <w:r>
        <w:rPr>
          <w:rFonts w:hint="default" w:ascii="Times New Roman" w:hAnsi="Times New Roman" w:eastAsia="仿宋_GB2312" w:cs="Times New Roman"/>
          <w:color w:val="auto"/>
          <w:spacing w:val="0"/>
          <w:kern w:val="0"/>
          <w:sz w:val="32"/>
          <w:szCs w:val="32"/>
          <w:highlight w:val="none"/>
          <w:u w:val="none" w:color="auto"/>
          <w:lang w:val="en-US" w:eastAsia="zh-CN" w:bidi="ar"/>
        </w:rPr>
        <w:t>打通“中梗阻”、整治“庸懒散”、提升“实效度”，在谋事中促发展、干事中树形象、成事中赢民心，着力打造人民满意的有为政府。</w:t>
      </w:r>
      <w:r>
        <w:rPr>
          <w:rFonts w:hint="default" w:ascii="Times New Roman" w:hAnsi="Times New Roman" w:eastAsia="仿宋_GB2312" w:cs="Times New Roman"/>
          <w:b/>
          <w:bCs/>
          <w:color w:val="auto"/>
          <w:spacing w:val="0"/>
          <w:kern w:val="0"/>
          <w:sz w:val="32"/>
          <w:szCs w:val="32"/>
          <w:highlight w:val="none"/>
          <w:u w:val="none" w:color="auto"/>
          <w:lang w:val="en-US" w:eastAsia="zh-CN" w:bidi="ar"/>
        </w:rPr>
        <w:t>坚持忠诚为政。</w:t>
      </w:r>
      <w:r>
        <w:rPr>
          <w:rFonts w:hint="default" w:ascii="Times New Roman" w:hAnsi="Times New Roman" w:eastAsia="仿宋_GB2312" w:cs="Times New Roman"/>
          <w:color w:val="auto"/>
          <w:spacing w:val="0"/>
          <w:kern w:val="0"/>
          <w:sz w:val="32"/>
          <w:szCs w:val="32"/>
          <w:highlight w:val="none"/>
          <w:u w:val="none" w:color="auto"/>
          <w:lang w:val="en-US" w:eastAsia="zh-CN" w:bidi="ar"/>
        </w:rPr>
        <w:t>把党的全面领导贯穿政府工作始终，胸怀“两个大局”，牢记“国之大者”，以实际行动拥护“两个确立”、做到“两个维护”，坚定不移推动中央、省市及市委各项决策部署落地见效。</w:t>
      </w:r>
      <w:r>
        <w:rPr>
          <w:rFonts w:hint="default" w:ascii="Times New Roman" w:hAnsi="Times New Roman" w:eastAsia="仿宋_GB2312" w:cs="Times New Roman"/>
          <w:b/>
          <w:bCs/>
          <w:color w:val="auto"/>
          <w:spacing w:val="0"/>
          <w:kern w:val="0"/>
          <w:sz w:val="32"/>
          <w:szCs w:val="32"/>
          <w:highlight w:val="none"/>
          <w:u w:val="none" w:color="auto"/>
          <w:lang w:val="en-US" w:eastAsia="zh-CN" w:bidi="ar"/>
        </w:rPr>
        <w:t>坚持依法行政。</w:t>
      </w:r>
      <w:r>
        <w:rPr>
          <w:rFonts w:hint="default" w:ascii="Times New Roman" w:hAnsi="Times New Roman" w:eastAsia="仿宋_GB2312" w:cs="Times New Roman"/>
          <w:color w:val="auto"/>
          <w:spacing w:val="0"/>
          <w:kern w:val="0"/>
          <w:sz w:val="32"/>
          <w:szCs w:val="32"/>
          <w:highlight w:val="none"/>
          <w:u w:val="none" w:color="auto"/>
          <w:lang w:val="en-US" w:eastAsia="zh-CN" w:bidi="ar"/>
        </w:rPr>
        <w:t>深入贯彻落实习近平法治思想，加快建设法治政府，提高运用法治思维和法治方式推动工作、解决问题的能力。主动接受社会各界监督，加强审计监督，确保权力在阳光下运行。规范行政执法行为，让行政执法既有“尺度”更有“温度”。</w:t>
      </w:r>
      <w:r>
        <w:rPr>
          <w:rFonts w:hint="default" w:ascii="Times New Roman" w:hAnsi="Times New Roman" w:eastAsia="仿宋_GB2312" w:cs="Times New Roman"/>
          <w:b/>
          <w:bCs/>
          <w:color w:val="auto"/>
          <w:spacing w:val="0"/>
          <w:kern w:val="0"/>
          <w:sz w:val="32"/>
          <w:szCs w:val="32"/>
          <w:highlight w:val="none"/>
          <w:u w:val="none" w:color="auto"/>
          <w:lang w:val="en-US" w:eastAsia="zh-CN" w:bidi="ar"/>
        </w:rPr>
        <w:t>坚持勤勉施政。</w:t>
      </w:r>
      <w:r>
        <w:rPr>
          <w:rFonts w:hint="default" w:ascii="Times New Roman" w:hAnsi="Times New Roman" w:eastAsia="仿宋_GB2312" w:cs="Times New Roman"/>
          <w:color w:val="auto"/>
          <w:spacing w:val="0"/>
          <w:kern w:val="0"/>
          <w:sz w:val="32"/>
          <w:szCs w:val="32"/>
          <w:highlight w:val="none"/>
          <w:u w:val="none" w:color="auto"/>
          <w:lang w:val="en-US" w:eastAsia="zh-CN" w:bidi="ar"/>
        </w:rPr>
        <w:t>以动真碰硬、清而有为的作风持续为群众解难、为企业松绑，让群众生活更有奔头、企业发展更有信心。弘扬雷厉风行的务实作风，提高干部抓落实能力，让“想干事、能干事、干成事”成为干事创业的主旋律。</w:t>
      </w:r>
      <w:r>
        <w:rPr>
          <w:rFonts w:hint="default" w:ascii="Times New Roman" w:hAnsi="Times New Roman" w:eastAsia="仿宋_GB2312" w:cs="Times New Roman"/>
          <w:b/>
          <w:bCs/>
          <w:color w:val="auto"/>
          <w:spacing w:val="0"/>
          <w:kern w:val="0"/>
          <w:sz w:val="32"/>
          <w:szCs w:val="32"/>
          <w:highlight w:val="none"/>
          <w:u w:val="none" w:color="auto"/>
          <w:lang w:val="en-US" w:eastAsia="zh-CN" w:bidi="ar"/>
        </w:rPr>
        <w:t>坚持廉洁从政。</w:t>
      </w:r>
      <w:r>
        <w:rPr>
          <w:rFonts w:hint="default" w:ascii="Times New Roman" w:hAnsi="Times New Roman" w:eastAsia="仿宋_GB2312" w:cs="Times New Roman"/>
          <w:color w:val="auto"/>
          <w:spacing w:val="0"/>
          <w:kern w:val="0"/>
          <w:sz w:val="32"/>
          <w:szCs w:val="32"/>
          <w:highlight w:val="none"/>
          <w:u w:val="none" w:color="auto"/>
          <w:lang w:val="en-US" w:eastAsia="zh-CN" w:bidi="ar"/>
        </w:rPr>
        <w:t>深入推进国资国企改革，严控“三公”经费和一般性支出，严肃财经纪律、加强预算管理，用政府过“紧日子”换取百姓过“好日子”。落实全面从严治党主体责任，严格履行“一岗双责”，持续整治群众身边不正之风和腐败问题，强化招投标管理，着力营造干部清正、政府清廉、政治清明、社会清朗的政治生态。</w:t>
      </w:r>
    </w:p>
    <w:p w14:paraId="25D1F8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r>
        <w:rPr>
          <w:rFonts w:hint="default" w:ascii="Times New Roman" w:hAnsi="Times New Roman" w:eastAsia="仿宋_GB2312" w:cs="Times New Roman"/>
          <w:color w:val="auto"/>
          <w:spacing w:val="0"/>
          <w:kern w:val="0"/>
          <w:sz w:val="32"/>
          <w:szCs w:val="32"/>
          <w:highlight w:val="none"/>
          <w:u w:val="none" w:color="auto"/>
          <w:lang w:val="en-US" w:eastAsia="zh-CN" w:bidi="ar"/>
        </w:rPr>
        <w:t>各位代表！百舸争流奋楫者先，千帆竞发勇进者胜。让我们更加紧密地团结在以习近平同志为核心的党中央周围，在市委的坚强领导下，保持跃马扬鞭的勇气、万马奔腾的活力、马不停蹄的干劲，同向同行、同策同力、同心同德，为推进中国式现代化同江实践而不懈奋斗！</w:t>
      </w:r>
    </w:p>
    <w:p w14:paraId="41A99E17">
      <w:pPr>
        <w:keepNext w:val="0"/>
        <w:keepLines w:val="0"/>
        <w:pageBreakBefore w:val="0"/>
        <w:widowControl w:val="0"/>
        <w:kinsoku/>
        <w:wordWrap/>
        <w:topLinePunct w:val="0"/>
        <w:bidi w:val="0"/>
        <w:spacing w:line="560" w:lineRule="exact"/>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r>
        <w:rPr>
          <w:rFonts w:hint="default" w:ascii="Times New Roman" w:hAnsi="Times New Roman" w:eastAsia="仿宋_GB2312" w:cs="Times New Roman"/>
          <w:color w:val="auto"/>
          <w:spacing w:val="0"/>
          <w:kern w:val="0"/>
          <w:sz w:val="32"/>
          <w:szCs w:val="32"/>
          <w:highlight w:val="none"/>
          <w:u w:val="none" w:color="auto"/>
          <w:lang w:val="en-US" w:eastAsia="zh-CN" w:bidi="ar"/>
        </w:rPr>
        <w:br w:type="page"/>
      </w:r>
    </w:p>
    <w:p w14:paraId="2832A26E">
      <w:pPr>
        <w:keepNext w:val="0"/>
        <w:keepLines w:val="0"/>
        <w:pageBreakBefore w:val="0"/>
        <w:widowControl w:val="0"/>
        <w:kinsoku/>
        <w:wordWrap/>
        <w:overflowPunct w:val="0"/>
        <w:topLinePunct w:val="0"/>
        <w:autoSpaceDE w:val="0"/>
        <w:autoSpaceDN w:val="0"/>
        <w:bidi w:val="0"/>
        <w:adjustRightInd w:val="0"/>
        <w:snapToGrid/>
        <w:spacing w:line="600" w:lineRule="exact"/>
        <w:ind w:left="0"/>
        <w:jc w:val="center"/>
        <w:textAlignment w:val="auto"/>
        <w:rPr>
          <w:rFonts w:hint="default" w:ascii="Times New Roman" w:hAnsi="Times New Roman" w:eastAsia="方正小标宋简体" w:cs="Times New Roman"/>
          <w:bCs/>
          <w:color w:val="auto"/>
          <w:kern w:val="0"/>
          <w:sz w:val="32"/>
          <w:szCs w:val="32"/>
          <w:highlight w:val="none"/>
          <w:u w:val="none" w:color="auto"/>
          <w:lang w:val="zh-CN"/>
        </w:rPr>
      </w:pPr>
      <w:r>
        <w:rPr>
          <w:rFonts w:hint="default" w:ascii="Times New Roman" w:hAnsi="Times New Roman" w:eastAsia="方正小标宋简体" w:cs="Times New Roman"/>
          <w:bCs/>
          <w:color w:val="auto"/>
          <w:kern w:val="0"/>
          <w:sz w:val="32"/>
          <w:szCs w:val="32"/>
          <w:highlight w:val="none"/>
          <w:u w:val="none" w:color="auto"/>
          <w:lang w:val="zh-CN"/>
        </w:rPr>
        <w:t>《政府工作报告》名词解释</w:t>
      </w:r>
    </w:p>
    <w:p w14:paraId="6CC7C65D">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0" w:firstLineChars="200"/>
        <w:textAlignment w:val="auto"/>
        <w:rPr>
          <w:rFonts w:hint="default" w:ascii="Times New Roman" w:hAnsi="Times New Roman" w:eastAsia="仿宋_GB2312" w:cs="Times New Roman"/>
          <w:color w:val="auto"/>
          <w:sz w:val="32"/>
          <w:szCs w:val="32"/>
          <w:highlight w:val="none"/>
          <w:u w:val="none" w:color="auto"/>
          <w:lang w:val="en-US" w:eastAsia="zh-CN"/>
        </w:rPr>
      </w:pPr>
    </w:p>
    <w:p w14:paraId="4BE8955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楷体_GB2312" w:cs="Times New Roman"/>
          <w:b/>
          <w:bCs/>
          <w:color w:val="auto"/>
          <w:kern w:val="2"/>
          <w:sz w:val="32"/>
          <w:szCs w:val="32"/>
          <w:highlight w:val="none"/>
          <w:u w:val="none" w:color="auto"/>
          <w:lang w:val="en-US" w:eastAsia="zh-CN" w:bidi="ar-SA"/>
        </w:rPr>
        <w:t>1.</w:t>
      </w:r>
      <w:r>
        <w:rPr>
          <w:rFonts w:hint="default" w:ascii="Times New Roman" w:hAnsi="Times New Roman" w:eastAsia="楷体_GB2312" w:cs="Times New Roman"/>
          <w:b/>
          <w:bCs/>
          <w:color w:val="auto"/>
          <w:sz w:val="32"/>
          <w:szCs w:val="32"/>
          <w:highlight w:val="none"/>
          <w:u w:val="none" w:color="auto"/>
          <w:lang w:val="en-US" w:eastAsia="zh-CN"/>
        </w:rPr>
        <w:t>“四县”同创、“三县”争先：</w:t>
      </w:r>
      <w:r>
        <w:rPr>
          <w:rFonts w:hint="default" w:ascii="Times New Roman" w:hAnsi="Times New Roman" w:eastAsia="仿宋_GB2312" w:cs="Times New Roman"/>
          <w:color w:val="auto"/>
          <w:sz w:val="32"/>
          <w:szCs w:val="32"/>
          <w:highlight w:val="none"/>
          <w:u w:val="none" w:color="auto"/>
          <w:lang w:val="en-US" w:eastAsia="zh-CN"/>
        </w:rPr>
        <w:t>指以县域经济高质量发展为主线，积极争创农业强县、工业大县、旅游名县、边贸旺县，并争取在农业强县、旅游名县、边贸旺县打造上取得突破。</w:t>
      </w:r>
    </w:p>
    <w:p w14:paraId="00DFF6D7">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楷体_GB2312" w:cs="Times New Roman"/>
          <w:b/>
          <w:bCs/>
          <w:color w:val="auto"/>
          <w:kern w:val="2"/>
          <w:sz w:val="32"/>
          <w:szCs w:val="32"/>
          <w:highlight w:val="none"/>
          <w:u w:val="none" w:color="auto"/>
          <w:lang w:val="en-US" w:eastAsia="zh-CN" w:bidi="ar-SA"/>
        </w:rPr>
        <w:t>2.“三个突破年”行动：</w:t>
      </w:r>
      <w:r>
        <w:rPr>
          <w:rFonts w:hint="default" w:ascii="Times New Roman" w:hAnsi="Times New Roman" w:eastAsia="仿宋_GB2312" w:cs="Times New Roman"/>
          <w:color w:val="auto"/>
          <w:sz w:val="32"/>
          <w:szCs w:val="32"/>
          <w:highlight w:val="none"/>
          <w:u w:val="none" w:color="auto"/>
          <w:lang w:val="en-US" w:eastAsia="zh-CN"/>
        </w:rPr>
        <w:t>指实施县域经济发展突破年、科技成果产业化突破年、服务企业效能提升突破年3项行动。</w:t>
      </w:r>
    </w:p>
    <w:p w14:paraId="218B46F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楷体_GB2312" w:cs="Times New Roman"/>
          <w:b/>
          <w:bCs/>
          <w:color w:val="auto"/>
          <w:kern w:val="2"/>
          <w:sz w:val="32"/>
          <w:szCs w:val="32"/>
          <w:highlight w:val="none"/>
          <w:u w:val="none" w:color="auto"/>
          <w:lang w:val="en-US" w:eastAsia="zh-CN" w:bidi="ar-SA"/>
        </w:rPr>
        <w:t>3.</w:t>
      </w:r>
      <w:r>
        <w:rPr>
          <w:rFonts w:hint="default" w:ascii="Times New Roman" w:hAnsi="Times New Roman" w:eastAsia="楷体_GB2312" w:cs="Times New Roman"/>
          <w:b/>
          <w:bCs/>
          <w:color w:val="auto"/>
          <w:kern w:val="2"/>
          <w:sz w:val="32"/>
          <w:szCs w:val="32"/>
          <w:highlight w:val="none"/>
          <w:u w:val="none" w:color="auto"/>
          <w:rtl w:val="0"/>
          <w:lang w:val="en-US" w:eastAsia="zh-CN" w:bidi="ar-SA"/>
        </w:rPr>
        <w:t>“9610”：</w:t>
      </w:r>
      <w:r>
        <w:rPr>
          <w:rFonts w:hint="default" w:ascii="Times New Roman" w:hAnsi="Times New Roman" w:eastAsia="仿宋_GB2312" w:cs="Times New Roman"/>
          <w:b w:val="0"/>
          <w:bCs w:val="0"/>
          <w:color w:val="auto"/>
          <w:sz w:val="32"/>
          <w:szCs w:val="32"/>
          <w:highlight w:val="none"/>
          <w:u w:val="none" w:color="auto"/>
          <w:rtl w:val="0"/>
          <w:lang w:val="en-US" w:eastAsia="zh-CN"/>
        </w:rPr>
        <w:t>指跨境电商B2C</w:t>
      </w:r>
      <w:r>
        <w:rPr>
          <w:rFonts w:hint="default" w:ascii="Times New Roman" w:hAnsi="Times New Roman" w:cs="Times New Roman"/>
          <w:b w:val="0"/>
          <w:bCs w:val="0"/>
          <w:color w:val="auto"/>
          <w:sz w:val="32"/>
          <w:szCs w:val="32"/>
          <w:highlight w:val="none"/>
          <w:u w:val="none" w:color="auto"/>
          <w:rtl w:val="0"/>
          <w:lang w:val="en-US" w:eastAsia="zh-CN"/>
        </w:rPr>
        <w:t>（</w:t>
      </w:r>
      <w:r>
        <w:rPr>
          <w:rFonts w:hint="default" w:ascii="Times New Roman" w:hAnsi="Times New Roman" w:eastAsia="仿宋_GB2312" w:cs="Times New Roman"/>
          <w:b w:val="0"/>
          <w:bCs w:val="0"/>
          <w:color w:val="auto"/>
          <w:sz w:val="32"/>
          <w:szCs w:val="32"/>
          <w:highlight w:val="none"/>
          <w:u w:val="none" w:color="auto"/>
          <w:rtl w:val="0"/>
          <w:lang w:val="en-US" w:eastAsia="zh-CN"/>
        </w:rPr>
        <w:t>企业对个人</w:t>
      </w:r>
      <w:r>
        <w:rPr>
          <w:rFonts w:hint="default" w:ascii="Times New Roman" w:hAnsi="Times New Roman" w:cs="Times New Roman"/>
          <w:b w:val="0"/>
          <w:bCs w:val="0"/>
          <w:color w:val="auto"/>
          <w:sz w:val="32"/>
          <w:szCs w:val="32"/>
          <w:highlight w:val="none"/>
          <w:u w:val="none" w:color="auto"/>
          <w:rtl w:val="0"/>
          <w:lang w:val="en-US" w:eastAsia="zh-CN"/>
        </w:rPr>
        <w:t>）</w:t>
      </w:r>
      <w:r>
        <w:rPr>
          <w:rFonts w:hint="default" w:ascii="Times New Roman" w:hAnsi="Times New Roman" w:eastAsia="仿宋_GB2312" w:cs="Times New Roman"/>
          <w:b w:val="0"/>
          <w:bCs w:val="0"/>
          <w:color w:val="auto"/>
          <w:sz w:val="32"/>
          <w:szCs w:val="32"/>
          <w:highlight w:val="none"/>
          <w:u w:val="none" w:color="auto"/>
          <w:rtl w:val="0"/>
          <w:lang w:val="en-US" w:eastAsia="zh-CN"/>
        </w:rPr>
        <w:t>出口，是境外消费者在跨境电商平台上向境内电商卖家下单购买商品，商品</w:t>
      </w:r>
      <w:r>
        <w:rPr>
          <w:rFonts w:hint="default" w:ascii="Times New Roman" w:hAnsi="Times New Roman" w:cs="Times New Roman"/>
          <w:b w:val="0"/>
          <w:bCs w:val="0"/>
          <w:color w:val="auto"/>
          <w:sz w:val="32"/>
          <w:szCs w:val="32"/>
          <w:highlight w:val="none"/>
          <w:u w:val="none" w:color="auto"/>
          <w:rtl w:val="0"/>
          <w:lang w:val="en-US" w:eastAsia="zh-CN"/>
        </w:rPr>
        <w:t>（</w:t>
      </w:r>
      <w:r>
        <w:rPr>
          <w:rFonts w:hint="default" w:ascii="Times New Roman" w:hAnsi="Times New Roman" w:eastAsia="仿宋_GB2312" w:cs="Times New Roman"/>
          <w:b w:val="0"/>
          <w:bCs w:val="0"/>
          <w:color w:val="auto"/>
          <w:sz w:val="32"/>
          <w:szCs w:val="32"/>
          <w:highlight w:val="none"/>
          <w:u w:val="none" w:color="auto"/>
          <w:rtl w:val="0"/>
          <w:lang w:val="en-US" w:eastAsia="zh-CN"/>
        </w:rPr>
        <w:t>包裹</w:t>
      </w:r>
      <w:r>
        <w:rPr>
          <w:rFonts w:hint="default" w:ascii="Times New Roman" w:hAnsi="Times New Roman" w:cs="Times New Roman"/>
          <w:b w:val="0"/>
          <w:bCs w:val="0"/>
          <w:color w:val="auto"/>
          <w:sz w:val="32"/>
          <w:szCs w:val="32"/>
          <w:highlight w:val="none"/>
          <w:u w:val="none" w:color="auto"/>
          <w:rtl w:val="0"/>
          <w:lang w:val="en-US" w:eastAsia="zh-CN"/>
        </w:rPr>
        <w:t>）</w:t>
      </w:r>
      <w:r>
        <w:rPr>
          <w:rFonts w:hint="default" w:ascii="Times New Roman" w:hAnsi="Times New Roman" w:eastAsia="仿宋_GB2312" w:cs="Times New Roman"/>
          <w:b w:val="0"/>
          <w:bCs w:val="0"/>
          <w:color w:val="auto"/>
          <w:sz w:val="32"/>
          <w:szCs w:val="32"/>
          <w:highlight w:val="none"/>
          <w:u w:val="none" w:color="auto"/>
          <w:rtl w:val="0"/>
          <w:lang w:val="en-US" w:eastAsia="zh-CN"/>
        </w:rPr>
        <w:t>经向中国海关申报出口后，送达境外消费者手中的业务模式。</w:t>
      </w:r>
    </w:p>
    <w:p w14:paraId="5EE81295">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楷体_GB2312" w:cs="Times New Roman"/>
          <w:b/>
          <w:bCs/>
          <w:color w:val="auto"/>
          <w:sz w:val="32"/>
          <w:szCs w:val="32"/>
          <w:highlight w:val="none"/>
          <w:u w:val="none" w:color="auto"/>
          <w:lang w:val="en-US" w:eastAsia="zh-CN"/>
        </w:rPr>
      </w:pPr>
      <w:r>
        <w:rPr>
          <w:rFonts w:hint="default" w:ascii="Times New Roman" w:hAnsi="Times New Roman" w:eastAsia="楷体_GB2312" w:cs="Times New Roman"/>
          <w:b/>
          <w:bCs/>
          <w:color w:val="auto"/>
          <w:kern w:val="2"/>
          <w:sz w:val="32"/>
          <w:szCs w:val="32"/>
          <w:highlight w:val="none"/>
          <w:u w:val="none" w:color="auto"/>
          <w:lang w:val="en-US" w:eastAsia="zh-CN" w:bidi="ar-SA"/>
        </w:rPr>
        <w:t>4.“5+N”产业体系：</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指培育发展现代农业、能源储运加工、商贸物流、文旅体育康养、机电装配5大主导产业，以及低空经济、生态经济、数字经济、生物经济、冰雪经济、创意设计等</w:t>
      </w:r>
      <w:r>
        <w:rPr>
          <w:rFonts w:hint="default" w:ascii="Times New Roman" w:hAnsi="Times New Roman" w:cs="Times New Roman"/>
          <w:b w:val="0"/>
          <w:bCs w:val="0"/>
          <w:color w:val="auto"/>
          <w:kern w:val="2"/>
          <w:sz w:val="32"/>
          <w:szCs w:val="32"/>
          <w:highlight w:val="none"/>
          <w:u w:val="none" w:color="auto"/>
          <w:lang w:val="en-US" w:eastAsia="zh-CN" w:bidi="ar-SA"/>
        </w:rPr>
        <w:t>N个</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新兴产业。</w:t>
      </w:r>
    </w:p>
    <w:p w14:paraId="680D0274">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5.“三三制”工作法：</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指政府班子成员及各部门领导每月三分之一时间用于“对外”招商引资、三分之一时间用于“对上”争取项目、三分之一时间用于“对内”处理事务的工作模式。</w:t>
      </w:r>
    </w:p>
    <w:p w14:paraId="002D858B">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6.“专精特新”企业：</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指具有专业化、精细化、特色化、新颖化特征，专注于细分市场并具备突出创新能力的中小企业。</w:t>
      </w:r>
    </w:p>
    <w:p w14:paraId="77ECB8E6">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7.“四个农业”：</w:t>
      </w:r>
      <w:r>
        <w:rPr>
          <w:rFonts w:hint="default" w:ascii="Times New Roman" w:hAnsi="Times New Roman" w:eastAsia="仿宋_GB2312" w:cs="Times New Roman"/>
          <w:b w:val="0"/>
          <w:bCs w:val="0"/>
          <w:color w:val="auto"/>
          <w:spacing w:val="-6"/>
          <w:sz w:val="32"/>
          <w:szCs w:val="32"/>
          <w:highlight w:val="none"/>
          <w:u w:val="none" w:color="auto"/>
          <w:lang w:val="en-US" w:eastAsia="zh-CN"/>
        </w:rPr>
        <w:t>指品牌农业、质量农业、科技农业、绿色农业。</w:t>
      </w:r>
    </w:p>
    <w:p w14:paraId="096D7C7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楷体_GB2312" w:cs="Times New Roman"/>
          <w:b/>
          <w:bCs/>
          <w:color w:val="auto"/>
          <w:kern w:val="2"/>
          <w:sz w:val="32"/>
          <w:szCs w:val="32"/>
          <w:highlight w:val="none"/>
          <w:u w:val="none" w:color="auto"/>
          <w:lang w:val="en-US" w:eastAsia="zh-CN" w:bidi="ar-SA"/>
        </w:rPr>
        <w:t>8.</w:t>
      </w:r>
      <w:r>
        <w:rPr>
          <w:rFonts w:hint="default" w:ascii="Times New Roman" w:hAnsi="Times New Roman" w:eastAsia="楷体_GB2312" w:cs="Times New Roman"/>
          <w:b/>
          <w:bCs/>
          <w:color w:val="auto"/>
          <w:kern w:val="2"/>
          <w:sz w:val="32"/>
          <w:szCs w:val="32"/>
          <w:highlight w:val="none"/>
          <w:u w:val="none" w:color="auto"/>
          <w:rtl w:val="0"/>
          <w:lang w:val="en-US" w:eastAsia="zh-CN" w:bidi="ar-SA"/>
        </w:rPr>
        <w:t>“千万工程”经验</w:t>
      </w:r>
      <w:r>
        <w:rPr>
          <w:rFonts w:hint="default" w:ascii="Times New Roman" w:hAnsi="Times New Roman" w:eastAsia="楷体_GB2312" w:cs="Times New Roman"/>
          <w:b/>
          <w:bCs/>
          <w:color w:val="auto"/>
          <w:kern w:val="2"/>
          <w:sz w:val="32"/>
          <w:szCs w:val="32"/>
          <w:highlight w:val="none"/>
          <w:u w:val="none" w:color="auto"/>
          <w:lang w:val="en-US" w:eastAsia="zh-CN" w:bidi="ar-SA"/>
        </w:rPr>
        <w:t>：</w:t>
      </w:r>
      <w:r>
        <w:rPr>
          <w:rFonts w:hint="default" w:ascii="Times New Roman" w:hAnsi="Times New Roman" w:eastAsia="仿宋_GB2312" w:cs="Times New Roman"/>
          <w:color w:val="auto"/>
          <w:sz w:val="32"/>
          <w:szCs w:val="32"/>
          <w:highlight w:val="none"/>
          <w:u w:val="none" w:color="auto"/>
          <w:rtl w:val="0"/>
          <w:lang w:val="en-US" w:eastAsia="zh-CN"/>
        </w:rPr>
        <w:t>指习近平总书记在浙江工作时亲自谋划、亲自部署、亲自推动的“千村示范、万村整治”美丽乡村建设工程的成功经验。</w:t>
      </w:r>
    </w:p>
    <w:p w14:paraId="14DED31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9.离境退税“即买即退”:</w:t>
      </w:r>
      <w:r>
        <w:rPr>
          <w:rFonts w:hint="default" w:ascii="Times New Roman" w:hAnsi="Times New Roman" w:eastAsia="仿宋_GB2312" w:cs="Times New Roman"/>
          <w:color w:val="auto"/>
          <w:sz w:val="32"/>
          <w:szCs w:val="32"/>
          <w:highlight w:val="none"/>
          <w:u w:val="none" w:color="auto"/>
          <w:rtl w:val="0"/>
          <w:lang w:val="en-US" w:eastAsia="zh-CN"/>
        </w:rPr>
        <w:t>指境外旅客在提供离境退税“即买即退”服务的商店购买退税物品时，签订协议书并办理信用卡预授权后，即可在该“即买即退”商店现场申领与退税款等额的人民币款项。</w:t>
      </w:r>
    </w:p>
    <w:p w14:paraId="1FC5B2D2">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10.</w:t>
      </w:r>
      <w:r>
        <w:rPr>
          <w:rFonts w:hint="default" w:ascii="Times New Roman" w:hAnsi="Times New Roman" w:eastAsia="楷体_GB2312" w:cs="Times New Roman"/>
          <w:b/>
          <w:bCs/>
          <w:color w:val="auto"/>
          <w:kern w:val="2"/>
          <w:sz w:val="32"/>
          <w:szCs w:val="32"/>
          <w:highlight w:val="none"/>
          <w:u w:val="none" w:color="auto"/>
          <w:rtl w:val="0"/>
          <w:lang w:val="en-US" w:eastAsia="zh-CN" w:bidi="ar-SA"/>
        </w:rPr>
        <w:t>“双名录”</w:t>
      </w:r>
      <w:r>
        <w:rPr>
          <w:rFonts w:hint="default" w:ascii="Times New Roman" w:hAnsi="Times New Roman" w:eastAsia="楷体_GB2312" w:cs="Times New Roman"/>
          <w:b/>
          <w:bCs/>
          <w:color w:val="auto"/>
          <w:kern w:val="2"/>
          <w:sz w:val="32"/>
          <w:szCs w:val="32"/>
          <w:highlight w:val="none"/>
          <w:u w:val="none" w:color="auto"/>
          <w:lang w:val="en-US" w:eastAsia="zh-CN" w:bidi="ar-SA"/>
        </w:rPr>
        <w:t>：</w:t>
      </w:r>
      <w:r>
        <w:rPr>
          <w:rFonts w:hint="default" w:ascii="Times New Roman" w:hAnsi="Times New Roman" w:eastAsia="仿宋_GB2312" w:cs="Times New Roman"/>
          <w:color w:val="auto"/>
          <w:sz w:val="32"/>
          <w:szCs w:val="32"/>
          <w:highlight w:val="none"/>
          <w:u w:val="none" w:color="auto"/>
          <w:rtl w:val="0"/>
          <w:lang w:val="en-US" w:eastAsia="zh-CN"/>
        </w:rPr>
        <w:t>指《人类非物质文化遗产代表作名录》和《优秀保护实践名册》。</w:t>
      </w:r>
    </w:p>
    <w:p w14:paraId="7A8904B7">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11.</w:t>
      </w:r>
      <w:r>
        <w:rPr>
          <w:rFonts w:hint="default" w:ascii="Times New Roman" w:hAnsi="Times New Roman" w:eastAsia="楷体_GB2312" w:cs="Times New Roman"/>
          <w:b/>
          <w:bCs/>
          <w:color w:val="auto"/>
          <w:kern w:val="2"/>
          <w:sz w:val="32"/>
          <w:szCs w:val="32"/>
          <w:highlight w:val="none"/>
          <w:u w:val="none" w:color="auto"/>
          <w:rtl w:val="0"/>
          <w:lang w:val="en-US" w:eastAsia="zh-CN" w:bidi="ar-SA"/>
        </w:rPr>
        <w:t>“十乱”整治</w:t>
      </w:r>
      <w:r>
        <w:rPr>
          <w:rFonts w:hint="default" w:ascii="Times New Roman" w:hAnsi="Times New Roman" w:eastAsia="楷体_GB2312" w:cs="Times New Roman"/>
          <w:b/>
          <w:bCs/>
          <w:color w:val="auto"/>
          <w:kern w:val="2"/>
          <w:sz w:val="32"/>
          <w:szCs w:val="32"/>
          <w:highlight w:val="none"/>
          <w:u w:val="none" w:color="auto"/>
          <w:lang w:val="en-US" w:eastAsia="zh-CN" w:bidi="ar-SA"/>
        </w:rPr>
        <w:t>：</w:t>
      </w:r>
      <w:r>
        <w:rPr>
          <w:rFonts w:hint="default" w:ascii="Times New Roman" w:hAnsi="Times New Roman" w:eastAsia="仿宋_GB2312" w:cs="Times New Roman"/>
          <w:color w:val="auto"/>
          <w:sz w:val="32"/>
          <w:szCs w:val="32"/>
          <w:highlight w:val="none"/>
          <w:u w:val="none" w:color="auto"/>
          <w:rtl w:val="0"/>
          <w:lang w:val="en-US" w:eastAsia="zh-CN"/>
        </w:rPr>
        <w:t>指针对城市中存在的“乱贴乱画、乱拉乱挂、乱停乱放、乱泼乱倒、乱搭乱建”等问题进行集中治理。</w:t>
      </w:r>
    </w:p>
    <w:p w14:paraId="390494D8">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12.</w:t>
      </w:r>
      <w:r>
        <w:rPr>
          <w:rFonts w:hint="default" w:ascii="Times New Roman" w:hAnsi="Times New Roman" w:eastAsia="楷体_GB2312" w:cs="Times New Roman"/>
          <w:b/>
          <w:bCs/>
          <w:color w:val="auto"/>
          <w:kern w:val="2"/>
          <w:sz w:val="32"/>
          <w:szCs w:val="32"/>
          <w:highlight w:val="none"/>
          <w:u w:val="none" w:color="auto"/>
          <w:rtl w:val="0"/>
          <w:lang w:val="en-US" w:eastAsia="zh-CN" w:bidi="ar-SA"/>
        </w:rPr>
        <w:t>“拆围拆违”</w:t>
      </w:r>
      <w:r>
        <w:rPr>
          <w:rFonts w:hint="default" w:ascii="Times New Roman" w:hAnsi="Times New Roman" w:eastAsia="楷体_GB2312" w:cs="Times New Roman"/>
          <w:b/>
          <w:bCs/>
          <w:color w:val="auto"/>
          <w:kern w:val="2"/>
          <w:sz w:val="32"/>
          <w:szCs w:val="32"/>
          <w:highlight w:val="none"/>
          <w:u w:val="none" w:color="auto"/>
          <w:lang w:val="en-US" w:eastAsia="zh-CN" w:bidi="ar-SA"/>
        </w:rPr>
        <w:t>：</w:t>
      </w:r>
      <w:r>
        <w:rPr>
          <w:rFonts w:hint="default" w:ascii="Times New Roman" w:hAnsi="Times New Roman" w:eastAsia="仿宋_GB2312" w:cs="Times New Roman"/>
          <w:color w:val="auto"/>
          <w:sz w:val="32"/>
          <w:szCs w:val="32"/>
          <w:highlight w:val="none"/>
          <w:u w:val="none" w:color="auto"/>
          <w:rtl w:val="0"/>
          <w:lang w:val="en-US" w:eastAsia="zh-CN"/>
        </w:rPr>
        <w:t>指拆除城市中不合理的围墙、围挡和违建。</w:t>
      </w:r>
    </w:p>
    <w:p w14:paraId="3547A5AC">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13.“两小一差”：</w:t>
      </w:r>
      <w:r>
        <w:rPr>
          <w:rFonts w:hint="default" w:ascii="Times New Roman" w:hAnsi="Times New Roman" w:eastAsia="仿宋_GB2312" w:cs="Times New Roman"/>
          <w:color w:val="auto"/>
          <w:sz w:val="32"/>
          <w:szCs w:val="32"/>
          <w:highlight w:val="none"/>
          <w:u w:val="none" w:color="auto"/>
          <w:rtl w:val="0"/>
          <w:lang w:val="en-US" w:eastAsia="zh-CN"/>
        </w:rPr>
        <w:t>指中小学生中存在的</w:t>
      </w:r>
      <w:r>
        <w:rPr>
          <w:rFonts w:hint="default" w:ascii="Times New Roman" w:hAnsi="Times New Roman" w:eastAsia="仿宋_GB2312" w:cs="Times New Roman"/>
          <w:color w:val="auto"/>
          <w:sz w:val="32"/>
          <w:szCs w:val="32"/>
          <w:highlight w:val="none"/>
          <w:u w:val="none" w:color="auto"/>
          <w:lang w:val="en-US" w:eastAsia="zh-CN"/>
        </w:rPr>
        <w:t>“小胖墩”“小眼镜”和身体素质差群体。</w:t>
      </w:r>
    </w:p>
    <w:p w14:paraId="5F7A30FC">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14.“两项政策”衔接并轨：</w:t>
      </w:r>
      <w:r>
        <w:rPr>
          <w:rFonts w:hint="default" w:ascii="Times New Roman" w:hAnsi="Times New Roman" w:eastAsia="仿宋_GB2312" w:cs="Times New Roman"/>
          <w:color w:val="auto"/>
          <w:sz w:val="32"/>
          <w:szCs w:val="32"/>
          <w:highlight w:val="none"/>
          <w:u w:val="none" w:color="auto"/>
          <w:rtl w:val="0"/>
          <w:lang w:val="en-US" w:eastAsia="zh-CN"/>
        </w:rPr>
        <w:t>指防止返贫帮扶政策与农村低收入人口常态化帮扶政策的衔接与整合。</w:t>
      </w:r>
    </w:p>
    <w:p w14:paraId="26B6687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15.“3+N”合成作战模式：</w:t>
      </w:r>
      <w:r>
        <w:rPr>
          <w:rFonts w:hint="default" w:ascii="Times New Roman" w:hAnsi="Times New Roman" w:eastAsia="仿宋_GB2312" w:cs="Times New Roman"/>
          <w:color w:val="auto"/>
          <w:sz w:val="32"/>
          <w:szCs w:val="32"/>
          <w:highlight w:val="none"/>
          <w:u w:val="none" w:color="auto"/>
          <w:rtl w:val="0"/>
          <w:lang w:val="en-US" w:eastAsia="zh-CN"/>
        </w:rPr>
        <w:t>指以网安、反诈、刑侦3个警种为主，与经侦、治安等其他多个警种合成作战的工作机制。</w:t>
      </w:r>
    </w:p>
    <w:p w14:paraId="23E3D8D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u w:val="none" w:color="auto"/>
          <w:shd w:val="clear" w:fill="FFFFFF"/>
          <w:rtl w:val="0"/>
          <w:lang w:val="en-US" w:eastAsia="zh-CN"/>
        </w:rPr>
      </w:pPr>
      <w:r>
        <w:rPr>
          <w:rFonts w:hint="default" w:ascii="Times New Roman" w:hAnsi="Times New Roman" w:eastAsia="楷体_GB2312" w:cs="Times New Roman"/>
          <w:b/>
          <w:bCs/>
          <w:color w:val="auto"/>
          <w:kern w:val="2"/>
          <w:sz w:val="32"/>
          <w:szCs w:val="32"/>
          <w:highlight w:val="none"/>
          <w:u w:val="none" w:color="auto"/>
          <w:lang w:val="en-US" w:eastAsia="zh-CN" w:bidi="ar-SA"/>
        </w:rPr>
        <w:t>16.“管委会+公司”改革：</w:t>
      </w:r>
      <w:r>
        <w:rPr>
          <w:rFonts w:hint="default" w:ascii="Times New Roman" w:hAnsi="Times New Roman" w:eastAsia="仿宋_GB2312" w:cs="Times New Roman"/>
          <w:color w:val="auto"/>
          <w:sz w:val="32"/>
          <w:szCs w:val="32"/>
          <w:highlight w:val="none"/>
          <w:u w:val="none" w:color="auto"/>
          <w:rtl w:val="0"/>
          <w:lang w:val="en-US" w:eastAsia="zh-CN"/>
        </w:rPr>
        <w:t>指将开发区原有的行政管理职能与市场化运营职能分离，由</w:t>
      </w:r>
      <w:r>
        <w:rPr>
          <w:rFonts w:hint="default" w:ascii="Times New Roman" w:hAnsi="Times New Roman" w:eastAsia="仿宋_GB2312" w:cs="Times New Roman"/>
          <w:b w:val="0"/>
          <w:bCs w:val="0"/>
          <w:i w:val="0"/>
          <w:iCs w:val="0"/>
          <w:caps w:val="0"/>
          <w:color w:val="auto"/>
          <w:spacing w:val="0"/>
          <w:sz w:val="32"/>
          <w:szCs w:val="32"/>
          <w:highlight w:val="none"/>
          <w:u w:val="none" w:color="auto"/>
          <w:shd w:val="clear" w:fill="FFFFFF"/>
          <w:lang w:val="en-US" w:eastAsia="zh-CN"/>
        </w:rPr>
        <w:t>开发区管委会负责规划编制、政策制定、平台搭建等工作，</w:t>
      </w:r>
      <w:r>
        <w:rPr>
          <w:rFonts w:hint="default" w:ascii="Times New Roman" w:hAnsi="Times New Roman" w:eastAsia="仿宋_GB2312" w:cs="Times New Roman"/>
          <w:b w:val="0"/>
          <w:bCs w:val="0"/>
          <w:i w:val="0"/>
          <w:iCs w:val="0"/>
          <w:caps w:val="0"/>
          <w:color w:val="auto"/>
          <w:spacing w:val="0"/>
          <w:sz w:val="32"/>
          <w:szCs w:val="32"/>
          <w:highlight w:val="none"/>
          <w:u w:val="none" w:color="auto"/>
          <w:shd w:val="clear" w:fill="FFFFFF"/>
          <w:rtl w:val="0"/>
          <w:lang w:val="en-US" w:eastAsia="zh-CN"/>
        </w:rPr>
        <w:t>企业承担招商引资、</w:t>
      </w:r>
      <w:r>
        <w:rPr>
          <w:rFonts w:hint="default" w:ascii="Times New Roman" w:hAnsi="Times New Roman" w:eastAsia="仿宋_GB2312" w:cs="Times New Roman"/>
          <w:b w:val="0"/>
          <w:bCs w:val="0"/>
          <w:i w:val="0"/>
          <w:iCs w:val="0"/>
          <w:caps w:val="0"/>
          <w:color w:val="auto"/>
          <w:spacing w:val="0"/>
          <w:sz w:val="32"/>
          <w:szCs w:val="32"/>
          <w:highlight w:val="none"/>
          <w:u w:val="none" w:color="auto"/>
          <w:shd w:val="clear" w:fill="FFFFFF"/>
          <w:lang w:val="en-US" w:eastAsia="zh-CN"/>
        </w:rPr>
        <w:t>项目建设、运营管理等工作，通过政企分离、政资</w:t>
      </w:r>
      <w:r>
        <w:rPr>
          <w:rFonts w:hint="default" w:ascii="Times New Roman" w:hAnsi="Times New Roman" w:eastAsia="仿宋_GB2312" w:cs="Times New Roman"/>
          <w:color w:val="auto"/>
          <w:sz w:val="32"/>
          <w:szCs w:val="32"/>
          <w:highlight w:val="none"/>
          <w:u w:val="none" w:color="auto"/>
        </w:rPr>
        <w:t>分开</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全面</w:t>
      </w:r>
      <w:r>
        <w:rPr>
          <w:rFonts w:hint="default" w:ascii="Times New Roman" w:hAnsi="Times New Roman" w:eastAsia="仿宋_GB2312" w:cs="Times New Roman"/>
          <w:b w:val="0"/>
          <w:bCs w:val="0"/>
          <w:i w:val="0"/>
          <w:iCs w:val="0"/>
          <w:caps w:val="0"/>
          <w:color w:val="auto"/>
          <w:spacing w:val="0"/>
          <w:sz w:val="32"/>
          <w:szCs w:val="32"/>
          <w:highlight w:val="none"/>
          <w:u w:val="none" w:color="auto"/>
          <w:shd w:val="clear" w:fill="FFFFFF"/>
          <w:lang w:val="en-US" w:eastAsia="zh-CN"/>
        </w:rPr>
        <w:t>激发园区发展活力。</w:t>
      </w:r>
    </w:p>
    <w:p w14:paraId="66B426E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17.“三公”经费：</w:t>
      </w:r>
      <w:r>
        <w:rPr>
          <w:rFonts w:hint="default" w:ascii="Times New Roman" w:hAnsi="Times New Roman" w:eastAsia="仿宋_GB2312" w:cs="Times New Roman"/>
          <w:color w:val="auto"/>
          <w:sz w:val="32"/>
          <w:szCs w:val="32"/>
          <w:highlight w:val="none"/>
          <w:u w:val="none" w:color="auto"/>
          <w:rtl w:val="0"/>
          <w:lang w:val="en-US" w:eastAsia="zh-CN"/>
        </w:rPr>
        <w:t>指使用财政拨款安排的因公出国</w:t>
      </w:r>
      <w:r>
        <w:rPr>
          <w:rFonts w:hint="default" w:ascii="Times New Roman" w:hAnsi="Times New Roman" w:cs="Times New Roman"/>
          <w:color w:val="auto"/>
          <w:sz w:val="32"/>
          <w:szCs w:val="32"/>
          <w:highlight w:val="none"/>
          <w:u w:val="none" w:color="auto"/>
          <w:rtl w:val="0"/>
          <w:lang w:val="en-US" w:eastAsia="zh-CN"/>
        </w:rPr>
        <w:t>（</w:t>
      </w:r>
      <w:r>
        <w:rPr>
          <w:rFonts w:hint="default" w:ascii="Times New Roman" w:hAnsi="Times New Roman" w:eastAsia="仿宋_GB2312" w:cs="Times New Roman"/>
          <w:color w:val="auto"/>
          <w:sz w:val="32"/>
          <w:szCs w:val="32"/>
          <w:highlight w:val="none"/>
          <w:u w:val="none" w:color="auto"/>
          <w:rtl w:val="0"/>
          <w:lang w:val="en-US" w:eastAsia="zh-CN"/>
        </w:rPr>
        <w:t>境</w:t>
      </w:r>
      <w:r>
        <w:rPr>
          <w:rFonts w:hint="default" w:ascii="Times New Roman" w:hAnsi="Times New Roman" w:cs="Times New Roman"/>
          <w:color w:val="auto"/>
          <w:sz w:val="32"/>
          <w:szCs w:val="32"/>
          <w:highlight w:val="none"/>
          <w:u w:val="none" w:color="auto"/>
          <w:rtl w:val="0"/>
          <w:lang w:val="en-US" w:eastAsia="zh-CN"/>
        </w:rPr>
        <w:t>）</w:t>
      </w:r>
      <w:r>
        <w:rPr>
          <w:rFonts w:hint="default" w:ascii="Times New Roman" w:hAnsi="Times New Roman" w:eastAsia="仿宋_GB2312" w:cs="Times New Roman"/>
          <w:color w:val="auto"/>
          <w:sz w:val="32"/>
          <w:szCs w:val="32"/>
          <w:highlight w:val="none"/>
          <w:u w:val="none" w:color="auto"/>
          <w:rtl w:val="0"/>
          <w:lang w:val="en-US" w:eastAsia="zh-CN"/>
        </w:rPr>
        <w:t>费、公务用车购置及运行费、公务接待费。</w:t>
      </w:r>
    </w:p>
    <w:p w14:paraId="7D88202B">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18.纠治“四风”：</w:t>
      </w:r>
      <w:r>
        <w:rPr>
          <w:rFonts w:hint="default" w:ascii="Times New Roman" w:hAnsi="Times New Roman" w:eastAsia="仿宋_GB2312" w:cs="Times New Roman"/>
          <w:color w:val="auto"/>
          <w:sz w:val="32"/>
          <w:szCs w:val="32"/>
          <w:highlight w:val="none"/>
          <w:u w:val="none" w:color="auto"/>
          <w:rtl w:val="0"/>
          <w:lang w:val="en-US" w:eastAsia="zh-CN"/>
        </w:rPr>
        <w:t>指坚决纠正形式主义、官僚主义、享乐主义和奢靡之风4种违背党的性质和宗旨的不正之风。</w:t>
      </w:r>
    </w:p>
    <w:p w14:paraId="5CCE9912">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19.“一带一路”：</w:t>
      </w:r>
      <w:r>
        <w:rPr>
          <w:rFonts w:hint="default" w:ascii="Times New Roman" w:hAnsi="Times New Roman" w:eastAsia="仿宋_GB2312" w:cs="Times New Roman"/>
          <w:color w:val="auto"/>
          <w:sz w:val="32"/>
          <w:szCs w:val="32"/>
          <w:highlight w:val="none"/>
          <w:u w:val="none" w:color="auto"/>
          <w:rtl w:val="0"/>
          <w:lang w:val="en-US" w:eastAsia="zh-CN"/>
        </w:rPr>
        <w:t>指2013年习近平总书记提出的建设“新丝绸之路经济带”和“21世纪海上丝绸之路”合作倡议。</w:t>
      </w:r>
    </w:p>
    <w:p w14:paraId="0AB1553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color w:val="auto"/>
          <w:sz w:val="32"/>
          <w:szCs w:val="32"/>
          <w:highlight w:val="none"/>
          <w:u w:val="none" w:color="auto"/>
          <w:rtl w:val="0"/>
          <w:lang w:val="en-US" w:eastAsia="zh-CN"/>
        </w:rPr>
      </w:pPr>
      <w:r>
        <w:rPr>
          <w:rFonts w:hint="default" w:ascii="Times New Roman" w:hAnsi="Times New Roman" w:eastAsia="楷体_GB2312" w:cs="Times New Roman"/>
          <w:b/>
          <w:bCs/>
          <w:color w:val="auto"/>
          <w:kern w:val="2"/>
          <w:sz w:val="32"/>
          <w:szCs w:val="32"/>
          <w:highlight w:val="none"/>
          <w:u w:val="none" w:color="auto"/>
          <w:lang w:val="en-US" w:eastAsia="zh-CN" w:bidi="ar-SA"/>
        </w:rPr>
        <w:t>20.“农头工尾”：</w:t>
      </w:r>
      <w:r>
        <w:rPr>
          <w:rFonts w:hint="default" w:ascii="Times New Roman" w:hAnsi="Times New Roman" w:eastAsia="仿宋_GB2312" w:cs="Times New Roman"/>
          <w:color w:val="auto"/>
          <w:sz w:val="32"/>
          <w:szCs w:val="32"/>
          <w:highlight w:val="none"/>
          <w:u w:val="none" w:color="auto"/>
          <w:rtl w:val="0"/>
          <w:lang w:val="en-US" w:eastAsia="zh-CN"/>
        </w:rPr>
        <w:t>指推动农业生产前端环节和农产品精深加工后端环节深度融合，实现从农产品生产到工业加工全产业链发展。</w:t>
      </w:r>
    </w:p>
    <w:p w14:paraId="326F3955">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21.</w:t>
      </w:r>
      <w:r>
        <w:rPr>
          <w:rFonts w:hint="default" w:ascii="Times New Roman" w:hAnsi="Times New Roman" w:eastAsia="楷体_GB2312" w:cs="Times New Roman"/>
          <w:b/>
          <w:bCs/>
          <w:color w:val="auto"/>
          <w:kern w:val="2"/>
          <w:sz w:val="32"/>
          <w:szCs w:val="32"/>
          <w:highlight w:val="none"/>
          <w:u w:val="none" w:color="auto"/>
          <w:rtl w:val="0"/>
          <w:lang w:val="en-US" w:eastAsia="zh-CN" w:bidi="ar-SA"/>
        </w:rPr>
        <w:t>“粮头食尾”：</w:t>
      </w:r>
      <w:r>
        <w:rPr>
          <w:rFonts w:hint="default" w:ascii="Times New Roman" w:hAnsi="Times New Roman" w:eastAsia="仿宋_GB2312" w:cs="Times New Roman"/>
          <w:color w:val="auto"/>
          <w:sz w:val="32"/>
          <w:szCs w:val="32"/>
          <w:highlight w:val="none"/>
          <w:u w:val="none" w:color="auto"/>
          <w:rtl w:val="0"/>
          <w:lang w:val="en-US" w:eastAsia="zh-CN"/>
        </w:rPr>
        <w:t>指从粮食生产源头向食品加工和消费终端延伸，通过产业链整合提升农产品附加值。</w:t>
      </w:r>
    </w:p>
    <w:p w14:paraId="52EEE425">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楷体_GB2312" w:cs="Times New Roman"/>
          <w:b/>
          <w:bCs/>
          <w:color w:val="auto"/>
          <w:kern w:val="2"/>
          <w:sz w:val="32"/>
          <w:szCs w:val="32"/>
          <w:highlight w:val="none"/>
          <w:u w:val="none" w:color="auto"/>
          <w:lang w:val="en-US" w:eastAsia="zh-CN" w:bidi="ar-SA"/>
        </w:rPr>
        <w:t>22.“一城四中心”：</w:t>
      </w:r>
      <w:r>
        <w:rPr>
          <w:rFonts w:hint="default" w:ascii="Times New Roman" w:hAnsi="Times New Roman" w:eastAsia="仿宋_GB2312" w:cs="Times New Roman"/>
          <w:color w:val="auto"/>
          <w:sz w:val="32"/>
          <w:szCs w:val="32"/>
          <w:highlight w:val="none"/>
          <w:u w:val="none" w:color="auto"/>
          <w:rtl w:val="0"/>
          <w:lang w:val="en-US" w:eastAsia="zh-CN"/>
        </w:rPr>
        <w:t>指打造</w:t>
      </w:r>
      <w:r>
        <w:rPr>
          <w:rFonts w:hint="default" w:ascii="Times New Roman" w:hAnsi="Times New Roman" w:eastAsia="仿宋_GB2312" w:cs="Times New Roman"/>
          <w:color w:val="auto"/>
          <w:sz w:val="32"/>
          <w:szCs w:val="32"/>
          <w:highlight w:val="none"/>
          <w:u w:val="none" w:color="auto"/>
          <w:lang w:val="en-US" w:eastAsia="zh-CN"/>
        </w:rPr>
        <w:t>向北开放口岸枢纽城市和大宗物品进口保税加工、区域物流集散、大宗商品交易、对外服务四大中心。</w:t>
      </w:r>
    </w:p>
    <w:p w14:paraId="249D180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23.“六个同江”：</w:t>
      </w:r>
      <w:r>
        <w:rPr>
          <w:rFonts w:hint="default" w:ascii="Times New Roman" w:hAnsi="Times New Roman" w:eastAsia="仿宋_GB2312" w:cs="Times New Roman"/>
          <w:b w:val="0"/>
          <w:bCs w:val="0"/>
          <w:color w:val="auto"/>
          <w:sz w:val="32"/>
          <w:szCs w:val="32"/>
          <w:highlight w:val="none"/>
          <w:u w:val="none" w:color="auto"/>
          <w:lang w:val="en-US" w:eastAsia="zh-CN"/>
        </w:rPr>
        <w:t>指开放的同江、国际的同江、创新的同江、美丽的同江、文明的同江、幸福的同江。</w:t>
      </w:r>
    </w:p>
    <w:p w14:paraId="050DEB8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24.“双买双卖”：</w:t>
      </w:r>
      <w:r>
        <w:rPr>
          <w:rFonts w:hint="default" w:ascii="Times New Roman" w:hAnsi="Times New Roman" w:eastAsia="仿宋_GB2312" w:cs="Times New Roman"/>
          <w:b w:val="0"/>
          <w:bCs w:val="0"/>
          <w:color w:val="auto"/>
          <w:sz w:val="32"/>
          <w:szCs w:val="32"/>
          <w:highlight w:val="none"/>
          <w:u w:val="none" w:color="auto"/>
          <w:lang w:val="en-US" w:eastAsia="zh-CN"/>
        </w:rPr>
        <w:t>指买全俄卖全国、买全国卖全俄。</w:t>
      </w:r>
    </w:p>
    <w:p w14:paraId="2ABA4C4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25.“前店后厂”</w:t>
      </w:r>
      <w:r>
        <w:rPr>
          <w:rFonts w:hint="default" w:ascii="Times New Roman" w:hAnsi="Times New Roman" w:eastAsia="仿宋_GB2312" w:cs="Times New Roman"/>
          <w:b w:val="0"/>
          <w:bCs w:val="0"/>
          <w:color w:val="auto"/>
          <w:sz w:val="32"/>
          <w:szCs w:val="32"/>
          <w:highlight w:val="none"/>
          <w:u w:val="none" w:color="auto"/>
          <w:lang w:val="en-US" w:eastAsia="zh-CN"/>
        </w:rPr>
        <w:t>：指企业通过前方门店接单，在后方工厂生产的经营模式。</w:t>
      </w:r>
    </w:p>
    <w:p w14:paraId="6CFD240C">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bCs/>
          <w:color w:val="auto"/>
          <w:kern w:val="2"/>
          <w:sz w:val="32"/>
          <w:szCs w:val="32"/>
          <w:highlight w:val="none"/>
          <w:u w:val="none" w:color="auto"/>
          <w:lang w:val="en-US" w:eastAsia="zh-CN" w:bidi="ar-SA"/>
        </w:rPr>
        <w:t>26.“前店后仓”：</w:t>
      </w:r>
      <w:r>
        <w:rPr>
          <w:rFonts w:hint="default" w:ascii="Times New Roman" w:hAnsi="Times New Roman" w:eastAsia="仿宋_GB2312" w:cs="Times New Roman"/>
          <w:b w:val="0"/>
          <w:bCs w:val="0"/>
          <w:color w:val="auto"/>
          <w:sz w:val="32"/>
          <w:szCs w:val="32"/>
          <w:highlight w:val="none"/>
          <w:u w:val="none" w:color="auto"/>
          <w:lang w:val="en-US" w:eastAsia="zh-CN"/>
        </w:rPr>
        <w:t>指将前方实体店、后方物流仓，形成“展销+仓储+配送”一体化布局的经营模式。</w:t>
      </w:r>
    </w:p>
    <w:p w14:paraId="29D68CB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bCs/>
          <w:color w:val="auto"/>
          <w:kern w:val="2"/>
          <w:sz w:val="32"/>
          <w:szCs w:val="32"/>
          <w:highlight w:val="none"/>
          <w:u w:val="none" w:color="auto"/>
          <w:lang w:val="en-US" w:eastAsia="zh-CN" w:bidi="ar-SA"/>
        </w:rPr>
        <w:t>27.“空车重回”业务：</w:t>
      </w:r>
      <w:r>
        <w:rPr>
          <w:rFonts w:hint="default" w:ascii="Times New Roman" w:hAnsi="Times New Roman" w:eastAsia="仿宋_GB2312" w:cs="Times New Roman"/>
          <w:b w:val="0"/>
          <w:bCs w:val="0"/>
          <w:color w:val="auto"/>
          <w:sz w:val="32"/>
          <w:szCs w:val="32"/>
          <w:highlight w:val="none"/>
          <w:u w:val="none" w:color="auto"/>
          <w:lang w:val="en-US" w:eastAsia="zh-CN"/>
        </w:rPr>
        <w:t>指利用俄罗斯进境卸货后的铁路空车车皮，重新装载货物回程。</w:t>
      </w:r>
    </w:p>
    <w:p w14:paraId="40E82402">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28.“两重”“两新”：</w:t>
      </w:r>
      <w:r>
        <w:rPr>
          <w:rFonts w:hint="default" w:ascii="Times New Roman" w:hAnsi="Times New Roman" w:eastAsia="仿宋_GB2312" w:cs="Times New Roman"/>
          <w:b w:val="0"/>
          <w:bCs w:val="0"/>
          <w:color w:val="auto"/>
          <w:sz w:val="32"/>
          <w:szCs w:val="32"/>
          <w:highlight w:val="none"/>
          <w:u w:val="none" w:color="auto"/>
          <w:lang w:val="en-US" w:eastAsia="zh-CN"/>
        </w:rPr>
        <w:t>指国家重大战略实施和重点领域安全能力建设、推动新一轮大规模设备更新和消费品以旧换新政策。</w:t>
      </w:r>
    </w:p>
    <w:p w14:paraId="2D5A9075">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29.“两头在外”企业：</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指原材料采购和产品销售均位于境外，而生产环节在国内的企业‌。</w:t>
      </w:r>
    </w:p>
    <w:p w14:paraId="1DFDAA4D">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30.“九珍十八品”：</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指由黑龙江省林业和草原局组织创建的“黑土优品”旗下森林食物品类省域公用品牌。</w:t>
      </w:r>
    </w:p>
    <w:p w14:paraId="0B575CC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31.“三资”：</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指农村集体资金、资产、资源。</w:t>
      </w:r>
    </w:p>
    <w:p w14:paraId="51D2A43C">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楷体_GB2312" w:cs="Times New Roman"/>
          <w:b/>
          <w:bCs/>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32.“三供两治一业”服务：</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指供水、供热、供气、污水治理、垃圾治理、物业管理。</w:t>
      </w:r>
    </w:p>
    <w:p w14:paraId="25CD2C3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33.新时代“枫桥经验”：</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指坚持和贯彻党的群众路线，在党的领导下，充分发动群众、组织群众、依靠群众解决群众自己的事情，做到“小事不出村、大事不出镇、矛盾不上交”。</w:t>
      </w:r>
    </w:p>
    <w:p w14:paraId="07A48CAC">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34.“完整社区”：</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指在居民适宜步行范围内有完善的基本公共服务设施、健全的便民商业服务设施、完备的市政配套基础设施、充足的公共活动空间、全覆盖的物业管理和健全的社区管理机制，且居民归属感、认同感较强的居住社区。</w:t>
      </w:r>
    </w:p>
    <w:p w14:paraId="1ED3A4E2">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楷体_GB2312" w:cs="Times New Roman"/>
          <w:b/>
          <w:bCs/>
          <w:color w:val="auto"/>
          <w:kern w:val="2"/>
          <w:sz w:val="32"/>
          <w:szCs w:val="32"/>
          <w:highlight w:val="none"/>
          <w:u w:val="none" w:color="auto"/>
          <w:lang w:val="en-US" w:eastAsia="zh-CN" w:bidi="ar-SA"/>
        </w:rPr>
        <w:t>35.适龄女生：</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指2011年11月10日以后出生的满13周岁的女孩。</w:t>
      </w:r>
    </w:p>
    <w:p w14:paraId="2AD3344E">
      <w:pPr>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br w:type="page"/>
      </w:r>
    </w:p>
    <w:p w14:paraId="4D6850E2">
      <w:pPr>
        <w:keepNext w:val="0"/>
        <w:keepLines w:val="0"/>
        <w:pageBreakBefore w:val="0"/>
        <w:widowControl w:val="0"/>
        <w:kinsoku/>
        <w:wordWrap/>
        <w:overflowPunct w:val="0"/>
        <w:topLinePunct w:val="0"/>
        <w:autoSpaceDE w:val="0"/>
        <w:autoSpaceDN w:val="0"/>
        <w:bidi w:val="0"/>
        <w:adjustRightInd w:val="0"/>
        <w:snapToGrid/>
        <w:spacing w:line="600" w:lineRule="exact"/>
        <w:ind w:left="0"/>
        <w:jc w:val="center"/>
        <w:textAlignment w:val="auto"/>
        <w:rPr>
          <w:rFonts w:hint="default" w:ascii="Times New Roman" w:hAnsi="Times New Roman" w:eastAsia="方正小标宋简体" w:cs="Times New Roman"/>
          <w:bCs/>
          <w:color w:val="auto"/>
          <w:kern w:val="0"/>
          <w:sz w:val="32"/>
          <w:szCs w:val="32"/>
          <w:highlight w:val="none"/>
          <w:u w:val="none" w:color="auto"/>
          <w:lang w:val="en-US" w:eastAsia="zh-CN"/>
        </w:rPr>
      </w:pPr>
      <w:r>
        <w:rPr>
          <w:rFonts w:hint="default" w:ascii="Times New Roman" w:hAnsi="Times New Roman" w:eastAsia="方正小标宋简体" w:cs="Times New Roman"/>
          <w:bCs/>
          <w:color w:val="auto"/>
          <w:kern w:val="0"/>
          <w:sz w:val="32"/>
          <w:szCs w:val="32"/>
          <w:highlight w:val="none"/>
          <w:u w:val="none" w:color="auto"/>
          <w:lang w:val="en-US" w:eastAsia="zh-CN"/>
        </w:rPr>
        <w:t>2026年继续实施的惠民实事清单</w:t>
      </w:r>
    </w:p>
    <w:p w14:paraId="1E56A07B">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p>
    <w:p w14:paraId="3F68FBFD">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r>
        <w:rPr>
          <w:rFonts w:hint="default" w:ascii="Times New Roman" w:hAnsi="Times New Roman" w:eastAsia="仿宋_GB2312" w:cs="Times New Roman"/>
          <w:color w:val="auto"/>
          <w:spacing w:val="0"/>
          <w:kern w:val="0"/>
          <w:sz w:val="32"/>
          <w:szCs w:val="32"/>
          <w:highlight w:val="none"/>
          <w:u w:val="none" w:color="auto"/>
          <w:lang w:val="en-US" w:eastAsia="zh-CN" w:bidi="ar"/>
        </w:rPr>
        <w:t>为持续巩固拓展民生改善成果，进一步增进民生福祉，市政府决定继续实施8项群众关注度高、受益面广、延续性强的民生实事，持续扩大政策范围、拓宽受益群体，让发展成果更多更公平惠及全市人民。</w:t>
      </w:r>
    </w:p>
    <w:p w14:paraId="5BA42079">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color w:val="auto"/>
          <w:spacing w:val="0"/>
          <w:kern w:val="0"/>
          <w:sz w:val="32"/>
          <w:szCs w:val="32"/>
          <w:highlight w:val="none"/>
          <w:u w:val="none" w:color="auto"/>
          <w:lang w:val="en-US" w:eastAsia="zh-CN" w:bidi="ar"/>
        </w:rPr>
        <w:t>1.</w:t>
      </w:r>
      <w:r>
        <w:rPr>
          <w:rFonts w:hint="default" w:ascii="Times New Roman" w:hAnsi="Times New Roman" w:eastAsia="仿宋_GB2312" w:cs="Times New Roman"/>
          <w:color w:val="auto"/>
          <w:spacing w:val="0"/>
          <w:kern w:val="0"/>
          <w:sz w:val="32"/>
          <w:szCs w:val="32"/>
          <w:highlight w:val="none"/>
          <w:u w:val="none" w:color="auto"/>
          <w:lang w:val="en-US" w:eastAsia="zh-CN" w:bidi="ar"/>
        </w:rPr>
        <w:t>为本地户籍新出生“二孩”“三孩”家庭分别增发一次性补贴资金5000元和10000元。</w:t>
      </w:r>
    </w:p>
    <w:p w14:paraId="72717EBD">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color w:val="auto"/>
          <w:spacing w:val="0"/>
          <w:kern w:val="0"/>
          <w:sz w:val="32"/>
          <w:szCs w:val="32"/>
          <w:highlight w:val="none"/>
          <w:u w:val="none" w:color="auto"/>
          <w:lang w:val="en-US" w:eastAsia="zh-CN" w:bidi="ar"/>
        </w:rPr>
        <w:t>2.</w:t>
      </w:r>
      <w:r>
        <w:rPr>
          <w:rFonts w:hint="default" w:ascii="Times New Roman" w:hAnsi="Times New Roman" w:eastAsia="仿宋_GB2312" w:cs="Times New Roman"/>
          <w:color w:val="auto"/>
          <w:spacing w:val="0"/>
          <w:kern w:val="0"/>
          <w:sz w:val="32"/>
          <w:szCs w:val="32"/>
          <w:highlight w:val="none"/>
          <w:u w:val="none" w:color="auto"/>
          <w:lang w:val="en-US" w:eastAsia="zh-CN" w:bidi="ar"/>
        </w:rPr>
        <w:t>两所公办幼儿园室外游乐设施实行周六、周日及暑假对外开放。</w:t>
      </w:r>
    </w:p>
    <w:p w14:paraId="4B54FD47">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color w:val="auto"/>
          <w:spacing w:val="0"/>
          <w:kern w:val="0"/>
          <w:sz w:val="32"/>
          <w:szCs w:val="32"/>
          <w:highlight w:val="none"/>
          <w:u w:val="none" w:color="auto"/>
          <w:lang w:val="en-US" w:eastAsia="zh-CN" w:bidi="ar"/>
        </w:rPr>
        <w:t>3.</w:t>
      </w:r>
      <w:r>
        <w:rPr>
          <w:rFonts w:hint="default" w:ascii="Times New Roman" w:hAnsi="Times New Roman" w:eastAsia="仿宋_GB2312" w:cs="Times New Roman"/>
          <w:color w:val="auto"/>
          <w:spacing w:val="0"/>
          <w:kern w:val="0"/>
          <w:sz w:val="32"/>
          <w:szCs w:val="32"/>
          <w:highlight w:val="none"/>
          <w:u w:val="none" w:color="auto"/>
          <w:lang w:val="en-US" w:eastAsia="zh-CN" w:bidi="ar"/>
        </w:rPr>
        <w:t>为困难陪读家庭发放住房租赁补贴。</w:t>
      </w:r>
    </w:p>
    <w:p w14:paraId="3CF4465F">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color w:val="auto"/>
          <w:spacing w:val="0"/>
          <w:kern w:val="0"/>
          <w:sz w:val="32"/>
          <w:szCs w:val="32"/>
          <w:highlight w:val="none"/>
          <w:u w:val="none" w:color="auto"/>
          <w:lang w:val="en-US" w:eastAsia="zh-CN" w:bidi="ar"/>
        </w:rPr>
        <w:t>4.</w:t>
      </w:r>
      <w:r>
        <w:rPr>
          <w:rFonts w:hint="default" w:ascii="Times New Roman" w:hAnsi="Times New Roman" w:eastAsia="仿宋_GB2312" w:cs="Times New Roman"/>
          <w:color w:val="auto"/>
          <w:spacing w:val="0"/>
          <w:kern w:val="0"/>
          <w:sz w:val="32"/>
          <w:szCs w:val="32"/>
          <w:highlight w:val="none"/>
          <w:u w:val="none" w:color="auto"/>
          <w:lang w:val="en-US" w:eastAsia="zh-CN" w:bidi="ar"/>
        </w:rPr>
        <w:t>持续开发大龄劳动者、宝妈、陪读家长及留守儿童家长等群体就业岗位，为灵活就业人员提供更高质量的就业环境。</w:t>
      </w:r>
    </w:p>
    <w:p w14:paraId="5CD13F62">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color w:val="auto"/>
          <w:spacing w:val="0"/>
          <w:kern w:val="0"/>
          <w:sz w:val="32"/>
          <w:szCs w:val="32"/>
          <w:highlight w:val="none"/>
          <w:u w:val="none" w:color="auto"/>
          <w:lang w:val="en-US" w:eastAsia="zh-CN" w:bidi="ar"/>
        </w:rPr>
        <w:t>5.</w:t>
      </w:r>
      <w:r>
        <w:rPr>
          <w:rFonts w:hint="default" w:ascii="Times New Roman" w:hAnsi="Times New Roman" w:eastAsia="仿宋_GB2312" w:cs="Times New Roman"/>
          <w:color w:val="auto"/>
          <w:spacing w:val="0"/>
          <w:kern w:val="0"/>
          <w:sz w:val="32"/>
          <w:szCs w:val="32"/>
          <w:highlight w:val="none"/>
          <w:u w:val="none" w:color="auto"/>
          <w:lang w:val="en-US" w:eastAsia="zh-CN" w:bidi="ar"/>
        </w:rPr>
        <w:t>为困难残疾人提供康复救助。</w:t>
      </w:r>
    </w:p>
    <w:p w14:paraId="29C4AE6F">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color w:val="auto"/>
          <w:spacing w:val="0"/>
          <w:kern w:val="0"/>
          <w:sz w:val="32"/>
          <w:szCs w:val="32"/>
          <w:highlight w:val="none"/>
          <w:u w:val="none" w:color="auto"/>
          <w:lang w:val="en-US" w:eastAsia="zh-CN" w:bidi="ar"/>
        </w:rPr>
        <w:t>6.</w:t>
      </w:r>
      <w:r>
        <w:rPr>
          <w:rFonts w:hint="default" w:ascii="Times New Roman" w:hAnsi="Times New Roman" w:eastAsia="仿宋_GB2312" w:cs="Times New Roman"/>
          <w:color w:val="auto"/>
          <w:spacing w:val="0"/>
          <w:kern w:val="0"/>
          <w:sz w:val="32"/>
          <w:szCs w:val="32"/>
          <w:highlight w:val="none"/>
          <w:u w:val="none" w:color="auto"/>
          <w:lang w:val="en-US" w:eastAsia="zh-CN" w:bidi="ar"/>
        </w:rPr>
        <w:t>为农村低保对象和分散供养特困人员每户每年发放1110元取暖补贴。</w:t>
      </w:r>
    </w:p>
    <w:p w14:paraId="35D311DE">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color w:val="auto"/>
          <w:spacing w:val="0"/>
          <w:kern w:val="0"/>
          <w:sz w:val="32"/>
          <w:szCs w:val="32"/>
          <w:highlight w:val="none"/>
          <w:u w:val="none" w:color="auto"/>
          <w:lang w:val="en-US" w:eastAsia="zh-CN" w:bidi="ar"/>
        </w:rPr>
        <w:t>7.</w:t>
      </w:r>
      <w:r>
        <w:rPr>
          <w:rFonts w:hint="default" w:ascii="Times New Roman" w:hAnsi="Times New Roman" w:eastAsia="仿宋_GB2312" w:cs="Times New Roman"/>
          <w:b w:val="0"/>
          <w:bCs w:val="0"/>
          <w:color w:val="auto"/>
          <w:spacing w:val="0"/>
          <w:kern w:val="0"/>
          <w:sz w:val="32"/>
          <w:szCs w:val="32"/>
          <w:highlight w:val="none"/>
          <w:u w:val="none" w:color="auto"/>
          <w:lang w:val="en-US" w:eastAsia="zh-CN" w:bidi="ar"/>
        </w:rPr>
        <w:t>为</w:t>
      </w:r>
      <w:r>
        <w:rPr>
          <w:rFonts w:hint="default" w:ascii="Times New Roman" w:hAnsi="Times New Roman" w:eastAsia="仿宋_GB2312" w:cs="Times New Roman"/>
          <w:color w:val="auto"/>
          <w:spacing w:val="0"/>
          <w:kern w:val="0"/>
          <w:sz w:val="32"/>
          <w:szCs w:val="32"/>
          <w:highlight w:val="none"/>
          <w:u w:val="none" w:color="auto"/>
          <w:lang w:val="en-US" w:eastAsia="zh-CN" w:bidi="ar"/>
        </w:rPr>
        <w:t>脱贫户、监测户等困难群体缴纳医疗保险。</w:t>
      </w:r>
    </w:p>
    <w:p w14:paraId="72D3CDDC">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color w:val="auto"/>
          <w:spacing w:val="0"/>
          <w:kern w:val="0"/>
          <w:sz w:val="32"/>
          <w:szCs w:val="32"/>
          <w:highlight w:val="none"/>
          <w:u w:val="none" w:color="auto"/>
          <w:lang w:val="en-US" w:eastAsia="zh-CN" w:bidi="ar"/>
        </w:rPr>
        <w:t>8.</w:t>
      </w:r>
      <w:r>
        <w:rPr>
          <w:rFonts w:hint="default" w:ascii="Times New Roman" w:hAnsi="Times New Roman" w:eastAsia="仿宋_GB2312" w:cs="Times New Roman"/>
          <w:color w:val="auto"/>
          <w:spacing w:val="0"/>
          <w:kern w:val="0"/>
          <w:sz w:val="32"/>
          <w:szCs w:val="32"/>
          <w:highlight w:val="none"/>
          <w:u w:val="none" w:color="auto"/>
          <w:lang w:val="en-US" w:eastAsia="zh-CN" w:bidi="ar"/>
        </w:rPr>
        <w:t>实行教师每年1次免费健康体检、乘坐公交车免费优惠。</w:t>
      </w:r>
    </w:p>
    <w:p w14:paraId="46A1DD1F">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color="auto"/>
          <w:lang w:val="zh-CN" w:eastAsia="zh-CN" w:bidi="ar"/>
        </w:rPr>
      </w:pPr>
      <w:r>
        <w:rPr>
          <w:rFonts w:hint="default" w:ascii="Times New Roman" w:hAnsi="Times New Roman" w:eastAsia="仿宋_GB2312" w:cs="Times New Roman"/>
          <w:color w:val="auto"/>
          <w:spacing w:val="0"/>
          <w:kern w:val="0"/>
          <w:sz w:val="32"/>
          <w:szCs w:val="32"/>
          <w:highlight w:val="none"/>
          <w:u w:val="none" w:color="auto"/>
          <w:lang w:val="zh-CN" w:eastAsia="zh-CN" w:bidi="ar"/>
        </w:rPr>
        <w:br w:type="page"/>
      </w:r>
    </w:p>
    <w:p w14:paraId="1290FD7C">
      <w:pPr>
        <w:keepNext w:val="0"/>
        <w:keepLines w:val="0"/>
        <w:pageBreakBefore w:val="0"/>
        <w:widowControl w:val="0"/>
        <w:kinsoku/>
        <w:wordWrap/>
        <w:overflowPunct/>
        <w:topLinePunct w:val="0"/>
        <w:autoSpaceDE w:val="0"/>
        <w:autoSpaceDN w:val="0"/>
        <w:bidi w:val="0"/>
        <w:adjustRightInd w:val="0"/>
        <w:snapToGrid/>
        <w:spacing w:line="600" w:lineRule="exact"/>
        <w:ind w:left="0"/>
        <w:jc w:val="center"/>
        <w:textAlignment w:val="auto"/>
        <w:rPr>
          <w:rFonts w:hint="default" w:ascii="Times New Roman" w:hAnsi="Times New Roman" w:eastAsia="方正小标宋简体" w:cs="Times New Roman"/>
          <w:bCs/>
          <w:color w:val="auto"/>
          <w:kern w:val="0"/>
          <w:sz w:val="32"/>
          <w:szCs w:val="32"/>
          <w:highlight w:val="none"/>
          <w:u w:val="none" w:color="auto"/>
          <w:lang w:val="en-US" w:eastAsia="zh-CN"/>
        </w:rPr>
      </w:pPr>
      <w:r>
        <w:rPr>
          <w:rFonts w:hint="default" w:ascii="Times New Roman" w:hAnsi="Times New Roman" w:eastAsia="方正小标宋简体" w:cs="Times New Roman"/>
          <w:bCs/>
          <w:color w:val="auto"/>
          <w:kern w:val="0"/>
          <w:sz w:val="32"/>
          <w:szCs w:val="32"/>
          <w:highlight w:val="none"/>
          <w:u w:val="none" w:color="auto"/>
          <w:lang w:val="en-US" w:eastAsia="zh-CN"/>
        </w:rPr>
        <w:t>2025年民生实事完成情况</w:t>
      </w:r>
    </w:p>
    <w:p w14:paraId="07B5F2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14:paraId="0D128D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2025年40件民生实事已全部完成。</w:t>
      </w:r>
    </w:p>
    <w:p w14:paraId="52D089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1.实施3个老旧小区和5个小区庭院升级改造，完善水电热气管网、小区道路等设施。</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老旧小区改造：已完成新华村正房、建兴大院厢房楼、机械厂综合楼3个老旧小区改造，重点改造楼体保温、外墙粉刷、楼梯和排水、供热、供水管网等，改造面积9070.71平方米，改善117户居民居住条件。小区庭院改造：已完成进宝家苑、双合家苑、金鼎佳苑6号楼、气象局家属楼、兴达小区5个小区庭院升级改造，重点完善供水、供热、排水、燃气管网等配套基础设施，惠及居民290余户。</w:t>
      </w:r>
    </w:p>
    <w:p w14:paraId="63701A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2.在居民小区和公共空间建设充电桩635个。</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在26个小区新建充电端口676个，其中：兴国佳苑、江城国际各64个，华龙佳苑、怡馨园各56个，滨江花园50个，金鼎佳苑48个，欣馨家园40个，滨江丽景32个，建设小区24个，建兴家园、龙发佳苑南院、华夏小区、财政局综合楼、鑫盛园各20个，同兴苑、时代家园、江都花园各16个，运输公司家属楼、福泰家园各12个，新春佳苑、中兴佳苑、新春园、兴达小区、洺粮小区、边防小区、双合家苑各10个。</w:t>
      </w:r>
    </w:p>
    <w:p w14:paraId="0F1241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3.新建1万平方米大型车辆临时停靠区1处。</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已在城区南侧干扰台旧址新建大型车辆免费临时停靠区1处，增设大型车辆泊位72个。</w:t>
      </w:r>
    </w:p>
    <w:p w14:paraId="12843B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4.增设小型车辆停车场地7处、停车泊位400个以上。</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新建小型车辆停车场地12处，增设停车泊位665个，其中：三中东侧停车场泊位152个、阳光水岸南门停车场泊位96个、兴国家苑北门停车场泊位68个、华龙佳苑东侧停车场泊位62个、沿江大道停车场泊位55个、松江街停车场泊位50个、滨江丽景停车场泊位48个、建业小区北门停车场泊位46个，建设路停车场泊位33个、华龙雅居停车场泊位28个、职中北门停车场泊位15个、俄罗斯风情园东侧停车场泊位12个。</w:t>
      </w:r>
    </w:p>
    <w:p w14:paraId="335788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5.配建新能源汽车充电桩50个以上。</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在14处点位安装新能源充电桩50个，其中：第二小学西侧停车场10个，新广场步行街停车场6个，政务服务中心停车场、俄罗斯风情园东侧停车场、体育公园停车场、火车站站前停车场各4个，三江口露营地、俄罗斯风情园南门停车场各3个，松江国际停车场、湿地公园大门停车场、非遗中心停车场、新客运站停车场、海关路停车场、三江口停车场各2个。</w:t>
      </w:r>
    </w:p>
    <w:p w14:paraId="1A3FA7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6.维修改造市体育馆。</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已于2025年8月7日正式启动市体育馆维修改造，现已完成方案论证、满堂架搭建等工作，预计2026年8月完工、对外开放。</w:t>
      </w:r>
    </w:p>
    <w:p w14:paraId="7972EE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7.建设市体育公园。</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位于浦西花园北侧，已于2025年7月15日完成建设并投入使用，内设篮球场、羽毛球场、网球场、健身步道、健身广场、健身器材等设施。</w:t>
      </w:r>
    </w:p>
    <w:p w14:paraId="62A063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8.新建俄罗斯风情园等5处公共体育健身器材50套。</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在我市27个点位安装50套体育健身器材并全部投入使用，累计惠及群众超过10万人次。其中：沿江公园、俄罗斯风情园各7套，廉政公园5套，阳光水岸3套，体育馆东侧、紫同雅苑、第一中学、青河镇、街津口乡各2套，体育场北侧、远东湿地公园、财政局东侧广场、滨江花园、泰富小区、翰林院、悦新佳苑、丁香园、慧福小镇、江城国际、盛和家园、边检小区、第二中学、第一小学、第二小学、乐业镇、浓江农场、鸭绿河农场各1套。</w:t>
      </w:r>
    </w:p>
    <w:p w14:paraId="08994F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9.推动有条件小区配套安装健身设施。</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已在11个小区安装13套健身器材，其中：紫同雅苑、阳光水岸各2套，泰富小区、滨江花园、江城国际、阳光水岸南侧、盛和家园、翰林院、慧福小镇、丁香园、悦新佳苑各1套。</w:t>
      </w:r>
    </w:p>
    <w:p w14:paraId="4CFF42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10.规划城市健身慢跑线路3条，打造15分钟便民“健身圈”。</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已建成城市健身慢跑线路7条，其中：体育公园3条，三江口大街、廉政公园、滨江南路、沿江大道各1条。</w:t>
      </w:r>
    </w:p>
    <w:p w14:paraId="327364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11.打造全省首个困境儿童关爱服务试点，为广大儿童提供休闲娱乐、心理辅导等服务。</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建成困境儿童智能服务系统，累计入户走访1090次，建立“一人一档”信息档案156份。年内累计服务困境儿童245名，开展个案帮扶347次、小组活动20次、社区服务24次，并聘请专业心理咨询师为困境儿童开展心理辅导93人次。</w:t>
      </w:r>
    </w:p>
    <w:p w14:paraId="072B9F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12.为本地户籍新出生“二孩”“三孩”家庭分别增发一次性补贴资金5000元和10000元。</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2025年共计为88个本地户籍新出生“二孩”“三孩”家庭发放一次性生育补贴46.5万元，其中：“二孩”家庭83家，发放补贴41.5万元，“三孩”家庭5家，发放补贴5万元。</w:t>
      </w:r>
    </w:p>
    <w:p w14:paraId="78656F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13.增设沿江公园、俄罗斯风情园等景区儿童游乐设施39套。</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已在5个点位增设儿童游乐设施44套，其中：沿江公园14套、体育公园13套、悦动公园8套、俄罗斯风情园7套、计生公园2套。</w:t>
      </w:r>
    </w:p>
    <w:p w14:paraId="024D18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14.两所公办幼儿园室外游乐设施实行周六、周日及暑假对外开放，拓展儿童娱乐活动空间。</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两所公办幼儿园室外游乐设施已实行周六、周日及暑假对外开放，累计接待儿童、家长5000余人次。</w:t>
      </w:r>
    </w:p>
    <w:p w14:paraId="18D74C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15.全面改造6个农场学校食堂，实现乡镇、农场12所学校“校园餐”热餐覆盖。</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6所农场学校食堂已于2025年1月26日至4月2日陆续改造完成并投入使用，实现乡镇、农场12所学校“校园餐”热餐覆盖。</w:t>
      </w:r>
    </w:p>
    <w:p w14:paraId="442EC9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color="auto"/>
          <w:lang w:val="en-US" w:eastAsia="zh-CN" w:bidi="ar-SA"/>
        </w:rPr>
        <w:t>16.</w:t>
      </w:r>
      <w:r>
        <w:rPr>
          <w:rFonts w:hint="default" w:ascii="Times New Roman" w:hAnsi="Times New Roman" w:eastAsia="仿宋_GB2312" w:cs="Times New Roman"/>
          <w:b/>
          <w:bCs/>
          <w:color w:val="auto"/>
          <w:kern w:val="2"/>
          <w:sz w:val="32"/>
          <w:szCs w:val="32"/>
          <w:highlight w:val="none"/>
          <w:u w:val="none" w:color="auto"/>
          <w:lang w:val="en-US" w:eastAsia="zh-CN" w:bidi="ar-SA"/>
        </w:rPr>
        <w:t>为困难陪读家庭发放住房租赁补贴，进一步提升就学服务保障水平。</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按照每户每年1500元标准，已为符合标准的82户困难陪读家庭发放补贴12.3万元，其中：第二中学20人、第一中学17人、第一小学11人、第三中学10人、职教中心9人、特殊教育学校6人、第五小学5人、第四小学4人。</w:t>
      </w:r>
    </w:p>
    <w:p w14:paraId="1A5A45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17.继续推行养老助餐服务，开通城区助餐点线上订餐功能，实行“智慧点餐、优惠购餐、定点配餐”服务，推动老年助餐进社区、进家门。</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社区食堂位于和平路与富江街交叉口东80米，已正式运营，可提供线上点餐、线下送餐服务，60岁及以上老人可享受优惠购餐待遇。</w:t>
      </w:r>
    </w:p>
    <w:p w14:paraId="40EBA4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18.投用城市社区居家养老服务中心。</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位于和平路与富江街交叉口东80米，已正式运营，可开展日间照料、养老助餐等服务，并为老人提供按摩椅、乒乓球台、棋牌游戏、健康养生讲座等免费服务，打造“食养结合”的社区养老新模式。</w:t>
      </w:r>
    </w:p>
    <w:p w14:paraId="036111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19.完善5个养老服务驿站功能。</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已完成长安、群利、永庆、富民、长发5个社区桌椅、冰箱、消毒柜等设施配备，进一步完善社区养老助餐服务功能，并依托城市居家养老中心内部社区食堂开展送餐服务。</w:t>
      </w:r>
    </w:p>
    <w:p w14:paraId="40BE72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20.设立乡村养老互助点5个。</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于乐业镇东胜村、向阳镇红旗村、同江镇新光村、三村镇三村村、临江镇富裕村设立养老互助点5个，成立老年互助小组8个，各试点村屯每月组织志愿者入户探访特殊困难老人，帮助采购米、面、油等生活物资。同时，联合卫生院为互助养老试点50名老人建立健康档案，定期开展免费体检和健康讲座，全方位守护农村老人晚年生活。</w:t>
      </w:r>
    </w:p>
    <w:p w14:paraId="578B89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21.实施全市28个公交站台、15台公交车改造。开通敬老爱老服务公交线路1条。</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完成全市28个公交站台、15台公交车改造，包括：更换站台宣传栏28幅，包装站台座垫28套；对莫日根、起点号2台公交车外观进行改造，并在车内安装电视、饮水机、暖风、座垫，为其他13台公交车加装暖风。开通敬老爱老服务5号公交线，将起始站点延伸至同江市益年康养中心，为老年人出行提供便利。</w:t>
      </w:r>
    </w:p>
    <w:p w14:paraId="3D852D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22.10个公共厕所适老化改造。</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已完成10个公共厕所扶手、标识牌安装等适老化改造，其中：沿江公园、俄罗斯风情园各3个，平安公园、廉政公园、东北亚广场、胜利公园各1个。</w:t>
      </w:r>
    </w:p>
    <w:p w14:paraId="5C88D1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color="auto"/>
          <w:lang w:val="en-US" w:eastAsia="zh-CN" w:bidi="ar-SA"/>
        </w:rPr>
        <w:t>23.</w:t>
      </w:r>
      <w:r>
        <w:rPr>
          <w:rFonts w:hint="default" w:ascii="Times New Roman" w:hAnsi="Times New Roman" w:eastAsia="仿宋_GB2312" w:cs="Times New Roman"/>
          <w:b/>
          <w:bCs/>
          <w:color w:val="auto"/>
          <w:kern w:val="2"/>
          <w:sz w:val="32"/>
          <w:szCs w:val="32"/>
          <w:highlight w:val="none"/>
          <w:u w:val="none" w:color="auto"/>
          <w:lang w:val="en-US" w:eastAsia="zh-CN" w:bidi="ar-SA"/>
        </w:rPr>
        <w:t>出台大龄劳动者、宝妈、陪读家长及留守儿童家长等群体就业扶持政策。开发“大龄岗”“妈妈岗”“陪读岗”共计400个，为灵活就业人员提供更高质量的就业环境。</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2025年，为大龄劳动者、宝妈、陪读家长等群体开发岗位401个，其中：“大龄岗”322个、“妈妈岗”52个、“陪读岗”27个，并为26家提供岗位企业发放补贴44.24万元。</w:t>
      </w:r>
    </w:p>
    <w:p w14:paraId="49F8E2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24.为全市低保人群免费提供肿瘤标志物五项筛查。</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2025年，为全市低保群众免费提供肿瘤标志物五项筛查共计2126人次。</w:t>
      </w:r>
    </w:p>
    <w:p w14:paraId="7D44E2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25.为困难残疾人提供康复救助。</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2025年，为211名残疾人免费发放轮椅、助行器、助听器等所需辅助器具，并为年内完成康复服务的9名残疾儿童发放康复救助补贴12.51万元。</w:t>
      </w:r>
    </w:p>
    <w:p w14:paraId="46FD0A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26.为本地户籍常住适龄妇女提供免费“两癌”筛查服务。</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2025年，为本地户籍常住适龄妇女提供免费“两癌”筛查服务共计8624人次，其中：宫颈癌筛查4651人次，乳腺癌筛查3973人次。</w:t>
      </w:r>
    </w:p>
    <w:p w14:paraId="726841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27.为农村低保和特困供养人员增发取暖费。</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已将农村低保、特困供养家庭取暖补贴标准由每户每年200元提高到1110元，2025年共计发放农村取暖补贴242.2万元，惠及全市农村困难家庭2182户3243人。</w:t>
      </w:r>
    </w:p>
    <w:p w14:paraId="12ECDC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28.率先推行教师每年1次免费健康体检，进一步提高教师服务保障水平。</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为全市1831名在职教师发放体检卡，教师可自选1000元体检项目，并根据个人情况到同江市人民医院、同江市中医医院、同江市妇幼保健院、北大荒建三江医院、勤得利农场医院自行体检。</w:t>
      </w:r>
    </w:p>
    <w:p w14:paraId="7BEC1E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29.推行教师理疗保健和景区门票半价优惠。</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全市1831名在职教师已享受中医医院理疗保健以及三江口国家湿地公园、非遗数字体验馆、街津口赫哲民族文化村景区首道门票半价优惠。</w:t>
      </w:r>
    </w:p>
    <w:p w14:paraId="0555F3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30.推行全市教师乘坐公交车免费。</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为全市1831名在职教师制作教师公交卡，凭此卡可免费乘坐公交车，已累计使用1.03万人次。</w:t>
      </w:r>
    </w:p>
    <w:p w14:paraId="16EC9C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31.实现全市小区物业管理全覆盖，推动“红色物业”进驻小区30个以上。</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全市218个小区（单体楼）均已实现物业服务全覆盖，其中国有物业服务企业进驻小区（单体楼）117个，并推动“红色物业”进驻小区30个。</w:t>
      </w:r>
    </w:p>
    <w:p w14:paraId="54E622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32.完善物业企业评定标准，建立物业企业服务红黑榜制度，开展文明小区创建行动，进一步提升物业服务质量。</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制定《物业管理服务质效提升方案》《星级化考评标准》《菜单式服务清单及物业企业红黄黑榜评定办法》，帮助清退丁香园小区服务不达标物业企业1家，并创建慧福小镇、御景蓝湾、阳光水岸、诗兰雅苑、五金小区、紫同雅苑、同兴苑、滨江丽景、金色嘉苑、上善俪景10个文明小区。</w:t>
      </w:r>
    </w:p>
    <w:p w14:paraId="20C3DF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33.加强医联体建设，与北京协和医院、哈尔滨医科大学附属第一医院等医疗机构合作，推动检查数据互认，开展义诊和远程就诊服务，让居民就近享受三甲医院诊疗服务。</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北京航天总医院、省中医医院、哈医大一院、哈医大二院等专家团队年内来我市开展义诊活动8次，惠及患者1300余人。同时，市人民医院已与哈医大一院、哈医大二院等三甲医院建立远程医疗合作，内科、外科、儿科、传染科、妇科等门诊可通过远程会诊平台进行专家指导会诊。</w:t>
      </w:r>
    </w:p>
    <w:p w14:paraId="54DF3C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34.实施东北亚广场亮化提升改造工程。</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已完成东北亚广场亮化提升改造工程，包括：东北亚广场周边居民楼塔尖亮化5个，维修高杆灯灯头48个、景观灯35个、广场射灯170个，东北亚广场字体更换等工作。</w:t>
      </w:r>
    </w:p>
    <w:p w14:paraId="377609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35.新建俄罗斯风情园、体育公园、中储粮同江直属库周边公共卫生间5个。</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已新建公共卫生间5个，其中：体育公园3个、俄罗斯风情园1个、中储粮同江直属库1个。</w:t>
      </w:r>
    </w:p>
    <w:p w14:paraId="0B6CFE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36.新建便民服务点2个，满足农民进城销售果蔬需求。</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已新建上善俪景东门、丁香园东侧便民服务点2处，设置果蔬销售摊位30个、石桌6个、石椅24个。</w:t>
      </w:r>
    </w:p>
    <w:p w14:paraId="10ABD7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37.升级改造乡镇8个惠农商贸超市。</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已在青河镇、乐业镇、临江镇、街津口乡、向阳镇、三村镇、八岔乡、金川乡升级改造惠农商贸超市8个并投入使用。</w:t>
      </w:r>
    </w:p>
    <w:p w14:paraId="5AA329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38.配套建设城乡公交站点，推动客货邮供一体化，为日用品下乡、农产品进城双向配送提供便捷服务。</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已在各乡镇建立客车或公交停靠点，通过客车及客运公交环线，实现日用品和农产品双向配送。</w:t>
      </w:r>
    </w:p>
    <w:p w14:paraId="0D278F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39.推动城乡居民养老保险、居民身份证、婚姻登记服务端口前移，打造“家门口”服务站。</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城乡居民养老保险、居民身份证均已实现在各乡镇政府、派出所就近办理；婚姻登记服务可在临江镇政府、勤得利农场社区管委会办理。</w:t>
      </w:r>
    </w:p>
    <w:p w14:paraId="4B1F3A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40.增设政务服务大厅AI智能服务窗口，为群众提供政策解读、办事指南等智能化咨询服务。</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政务服务大厅AI智能服务窗口已投入使用，可实现俄语识别唤醒、俄文办事指南、惠企政策检索、特色文旅推广等功能。</w:t>
      </w:r>
    </w:p>
    <w:p w14:paraId="4B4BA7F2">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rightChars="0" w:firstLine="680" w:firstLineChars="200"/>
        <w:jc w:val="both"/>
        <w:textAlignment w:val="auto"/>
        <w:rPr>
          <w:rFonts w:hint="default" w:ascii="Times New Roman" w:hAnsi="Times New Roman" w:eastAsia="仿宋_GB2312" w:cs="Times New Roman"/>
          <w:b w:val="0"/>
          <w:bCs w:val="0"/>
          <w:color w:val="auto"/>
          <w:kern w:val="2"/>
          <w:sz w:val="34"/>
          <w:szCs w:val="34"/>
          <w:highlight w:val="none"/>
          <w:u w:val="none" w:color="auto"/>
          <w:lang w:val="en-US" w:eastAsia="zh-CN" w:bidi="ar-SA"/>
        </w:rPr>
      </w:pPr>
    </w:p>
    <w:p w14:paraId="58E0D1AA">
      <w:pPr>
        <w:pStyle w:val="4"/>
        <w:rPr>
          <w:rFonts w:hint="default" w:ascii="Times New Roman" w:hAnsi="Times New Roman" w:cs="Times New Roman"/>
          <w:color w:val="auto"/>
          <w:highlight w:val="none"/>
        </w:rPr>
      </w:pPr>
    </w:p>
    <w:p w14:paraId="5E9B2D62">
      <w:pPr>
        <w:rPr>
          <w:rFonts w:hint="default" w:ascii="Times New Roman" w:hAnsi="Times New Roman" w:cs="Times New Roman"/>
          <w:color w:val="auto"/>
          <w:highlight w:val="none"/>
        </w:rPr>
      </w:pPr>
    </w:p>
    <w:p w14:paraId="68889D10">
      <w:pPr>
        <w:rPr>
          <w:rFonts w:hint="default" w:ascii="Times New Roman" w:hAnsi="Times New Roman" w:cs="Times New Roman"/>
          <w:color w:val="auto"/>
          <w:highlight w:val="none"/>
        </w:rPr>
      </w:pPr>
    </w:p>
    <w:p w14:paraId="48EC4C41">
      <w:pPr>
        <w:rPr>
          <w:rFonts w:hint="default" w:ascii="Times New Roman" w:hAnsi="Times New Roman" w:cs="Times New Roman"/>
          <w:color w:val="auto"/>
          <w:highlight w:val="none"/>
        </w:rPr>
      </w:pPr>
    </w:p>
    <w:p w14:paraId="3D7644A0">
      <w:pPr>
        <w:rPr>
          <w:rFonts w:hint="default" w:ascii="Times New Roman" w:hAnsi="Times New Roman" w:cs="Times New Roman"/>
          <w:color w:val="auto"/>
          <w:highlight w:val="none"/>
        </w:rPr>
      </w:pPr>
    </w:p>
    <w:p w14:paraId="453BFB95">
      <w:pPr>
        <w:rPr>
          <w:rFonts w:hint="default" w:ascii="Times New Roman" w:hAnsi="Times New Roman" w:cs="Times New Roman"/>
          <w:color w:val="auto"/>
          <w:highlight w:val="none"/>
        </w:rPr>
      </w:pPr>
    </w:p>
    <w:p w14:paraId="318A3A84">
      <w:pPr>
        <w:rPr>
          <w:rFonts w:hint="default" w:ascii="Times New Roman" w:hAnsi="Times New Roman" w:cs="Times New Roman"/>
          <w:color w:val="auto"/>
          <w:highlight w:val="none"/>
        </w:rPr>
      </w:pPr>
    </w:p>
    <w:p w14:paraId="393A9241">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35C376E6">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5FE9EF96">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0E143218">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2D65FF08">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49F95C72">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1E0B78FE">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2026D0B0">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0DA645F9">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4F8C853C">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273F8398">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568481CB">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42AC20E3">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5C39A516">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5DD0A17A">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2FCBC987">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27345A68">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69059444">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20F2A1C0">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7EE6D2F3">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775612BD">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0BE95949">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5270EAFF">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495934A1">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1102ECD0">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34220EF9">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4486580A">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38D94621">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6A178C16">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02F9A4B3">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16E4362F">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2ADC5BD6">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4F5328E8">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1B47B44D">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22C42BFD">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6D81E26E">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00AD3F28">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2FB6E69D">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0651B47B">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72A20E48">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458A4191">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571C5BE3">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p w14:paraId="183E35BC">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tbl>
      <w:tblPr>
        <w:tblStyle w:val="14"/>
        <w:tblpPr w:leftFromText="180" w:rightFromText="180" w:vertAnchor="text" w:horzAnchor="page" w:tblpX="1671" w:tblpY="602"/>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630"/>
      </w:tblGrid>
      <w:tr w14:paraId="127A40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noWrap w:val="0"/>
            <w:vAlign w:val="top"/>
          </w:tcPr>
          <w:p w14:paraId="0F54BCBD">
            <w:pPr>
              <w:tabs>
                <w:tab w:val="left" w:pos="846"/>
              </w:tabs>
              <w:bidi w:val="0"/>
              <w:ind w:firstLine="280" w:firstLineChars="100"/>
              <w:jc w:val="left"/>
              <w:rPr>
                <w:rFonts w:hint="default" w:ascii="Times New Roman" w:hAnsi="Times New Roman" w:eastAsia="宋体" w:cs="Times New Roman"/>
                <w:color w:val="auto"/>
                <w:highlight w:val="none"/>
                <w:vertAlign w:val="baseline"/>
                <w:lang w:eastAsia="zh-CN"/>
              </w:rPr>
            </w:pPr>
            <w:r>
              <w:rPr>
                <w:rFonts w:hint="default" w:ascii="Times New Roman" w:hAnsi="Times New Roman" w:eastAsia="仿宋" w:cs="Times New Roman"/>
                <w:color w:val="auto"/>
                <w:sz w:val="28"/>
                <w:szCs w:val="28"/>
                <w:highlight w:val="none"/>
                <w:lang w:val="en-US" w:eastAsia="zh-CN"/>
              </w:rPr>
              <w:t>同江市人民政府办公室</w:t>
            </w:r>
          </w:p>
        </w:tc>
        <w:tc>
          <w:tcPr>
            <w:tcW w:w="4630" w:type="dxa"/>
            <w:tcBorders>
              <w:tl2br w:val="nil"/>
              <w:tr2bl w:val="nil"/>
            </w:tcBorders>
            <w:noWrap w:val="0"/>
            <w:vAlign w:val="top"/>
          </w:tcPr>
          <w:p w14:paraId="307BF16A">
            <w:pPr>
              <w:keepNext w:val="0"/>
              <w:keepLines w:val="0"/>
              <w:pageBreakBefore w:val="0"/>
              <w:widowControl w:val="0"/>
              <w:kinsoku/>
              <w:wordWrap/>
              <w:overflowPunct/>
              <w:topLinePunct w:val="0"/>
              <w:autoSpaceDE/>
              <w:autoSpaceDN/>
              <w:bidi w:val="0"/>
              <w:adjustRightInd/>
              <w:snapToGrid/>
              <w:spacing w:line="540" w:lineRule="exact"/>
              <w:ind w:left="0" w:leftChars="0" w:firstLine="1400" w:firstLineChars="500"/>
              <w:textAlignment w:val="auto"/>
              <w:rPr>
                <w:rFonts w:hint="default" w:ascii="Times New Roman" w:hAnsi="Times New Roman" w:eastAsia="宋体" w:cs="Times New Roman"/>
                <w:color w:val="auto"/>
                <w:highlight w:val="none"/>
                <w:vertAlign w:val="baseline"/>
                <w:lang w:eastAsia="zh-CN"/>
              </w:rPr>
            </w:pPr>
            <w:r>
              <w:rPr>
                <w:rFonts w:hint="default" w:ascii="Times New Roman" w:hAnsi="Times New Roman" w:eastAsia="仿宋" w:cs="Times New Roman"/>
                <w:color w:val="auto"/>
                <w:sz w:val="28"/>
                <w:szCs w:val="28"/>
                <w:highlight w:val="none"/>
                <w:lang w:val="en-US" w:eastAsia="zh-CN"/>
              </w:rPr>
              <w:t>2026年</w:t>
            </w:r>
            <w:r>
              <w:rPr>
                <w:rFonts w:hint="default" w:ascii="Times New Roman" w:hAnsi="Times New Roman"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val="en-US" w:eastAsia="zh-CN"/>
              </w:rPr>
              <w:t>月</w:t>
            </w:r>
            <w:r>
              <w:rPr>
                <w:rFonts w:hint="default" w:ascii="Times New Roman" w:hAnsi="Times New Roman" w:cs="Times New Roman"/>
                <w:color w:val="auto"/>
                <w:sz w:val="28"/>
                <w:szCs w:val="28"/>
                <w:highlight w:val="none"/>
                <w:lang w:val="en-US" w:eastAsia="zh-CN"/>
              </w:rPr>
              <w:t>12</w:t>
            </w:r>
            <w:r>
              <w:rPr>
                <w:rFonts w:hint="default" w:ascii="Times New Roman" w:hAnsi="Times New Roman" w:eastAsia="仿宋" w:cs="Times New Roman"/>
                <w:color w:val="auto"/>
                <w:sz w:val="28"/>
                <w:szCs w:val="28"/>
                <w:highlight w:val="none"/>
                <w:lang w:val="en-US" w:eastAsia="zh-CN"/>
              </w:rPr>
              <w:t>日印发</w:t>
            </w:r>
          </w:p>
        </w:tc>
      </w:tr>
    </w:tbl>
    <w:p w14:paraId="74299090">
      <w:pPr>
        <w:pStyle w:val="10"/>
        <w:keepNext w:val="0"/>
        <w:keepLines w:val="0"/>
        <w:pageBreakBefore w:val="0"/>
        <w:widowControl w:val="0"/>
        <w:kinsoku/>
        <w:wordWrap/>
        <w:overflowPunct/>
        <w:topLinePunct w:val="0"/>
        <w:autoSpaceDE/>
        <w:autoSpaceDN/>
        <w:bidi w:val="0"/>
        <w:adjustRightInd/>
        <w:snapToGrid/>
        <w:spacing w:after="0" w:line="440" w:lineRule="exact"/>
        <w:ind w:firstLine="702"/>
        <w:textAlignment w:val="auto"/>
        <w:rPr>
          <w:rFonts w:hint="default" w:ascii="Times New Roman" w:hAnsi="Times New Roman" w:eastAsia="仿宋" w:cs="Times New Roman"/>
          <w:color w:val="auto"/>
          <w:sz w:val="34"/>
          <w:szCs w:val="34"/>
          <w:highlight w:val="none"/>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F2D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FA337">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BFA337">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pStyle w:val="22"/>
      <w:lvlText w:val="%1、"/>
      <w:lvlJc w:val="left"/>
      <w:pPr>
        <w:tabs>
          <w:tab w:val="left" w:pos="720"/>
        </w:tabs>
        <w:ind w:left="720" w:hanging="720"/>
      </w:pPr>
    </w:lvl>
    <w:lvl w:ilvl="1" w:tentative="0">
      <w:start w:val="1"/>
      <w:numFmt w:val="decimal"/>
      <w:lvlText w:val="%1、"/>
      <w:lvlJc w:val="left"/>
      <w:pPr>
        <w:tabs>
          <w:tab w:val="left" w:pos="1140"/>
        </w:tabs>
        <w:ind w:left="1140" w:hanging="720"/>
      </w:pPr>
    </w:lvl>
    <w:lvl w:ilvl="2" w:tentative="0">
      <w:start w:val="1"/>
      <w:numFmt w:val="lowerRoman"/>
      <w:lvlText w:val="%1."/>
      <w:lvlJc w:val="right"/>
      <w:pPr>
        <w:tabs>
          <w:tab w:val="left" w:pos="1260"/>
        </w:tabs>
        <w:ind w:left="1260" w:hanging="420"/>
      </w:pPr>
    </w:lvl>
    <w:lvl w:ilvl="3" w:tentative="0">
      <w:start w:val="1"/>
      <w:numFmt w:val="decimal"/>
      <w:lvlText w:val="%1."/>
      <w:lvlJc w:val="left"/>
      <w:pPr>
        <w:tabs>
          <w:tab w:val="left" w:pos="1680"/>
        </w:tabs>
        <w:ind w:left="1680" w:hanging="420"/>
      </w:pPr>
    </w:lvl>
    <w:lvl w:ilvl="4" w:tentative="0">
      <w:start w:val="1"/>
      <w:numFmt w:val="lowerLetter"/>
      <w:lvlText w:val="%1)"/>
      <w:lvlJc w:val="left"/>
      <w:pPr>
        <w:tabs>
          <w:tab w:val="left" w:pos="2100"/>
        </w:tabs>
        <w:ind w:left="2100" w:hanging="420"/>
      </w:pPr>
    </w:lvl>
    <w:lvl w:ilvl="5" w:tentative="0">
      <w:start w:val="1"/>
      <w:numFmt w:val="lowerRoman"/>
      <w:lvlText w:val="%1."/>
      <w:lvlJc w:val="right"/>
      <w:pPr>
        <w:tabs>
          <w:tab w:val="left" w:pos="2520"/>
        </w:tabs>
        <w:ind w:left="2520" w:hanging="420"/>
      </w:pPr>
    </w:lvl>
    <w:lvl w:ilvl="6" w:tentative="0">
      <w:start w:val="1"/>
      <w:numFmt w:val="decimal"/>
      <w:lvlText w:val="%1."/>
      <w:lvlJc w:val="left"/>
      <w:pPr>
        <w:tabs>
          <w:tab w:val="left" w:pos="2940"/>
        </w:tabs>
        <w:ind w:left="2940" w:hanging="420"/>
      </w:pPr>
    </w:lvl>
    <w:lvl w:ilvl="7" w:tentative="0">
      <w:start w:val="1"/>
      <w:numFmt w:val="lowerLetter"/>
      <w:lvlText w:val="%1)"/>
      <w:lvlJc w:val="left"/>
      <w:pPr>
        <w:tabs>
          <w:tab w:val="left" w:pos="3360"/>
        </w:tabs>
        <w:ind w:left="3360" w:hanging="420"/>
      </w:pPr>
    </w:lvl>
    <w:lvl w:ilvl="8" w:tentative="0">
      <w:start w:val="1"/>
      <w:numFmt w:val="lowerRoman"/>
      <w:lvlText w:val="%1."/>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MzgxOWUxMTBhOTlhZDJjNzgyYTU4NWY2M2I0ZjEifQ=="/>
  </w:docVars>
  <w:rsids>
    <w:rsidRoot w:val="00000000"/>
    <w:rsid w:val="002507D7"/>
    <w:rsid w:val="002E4268"/>
    <w:rsid w:val="002E43DA"/>
    <w:rsid w:val="004A6C81"/>
    <w:rsid w:val="004B0D73"/>
    <w:rsid w:val="00536952"/>
    <w:rsid w:val="005C1D1B"/>
    <w:rsid w:val="00AD0DA3"/>
    <w:rsid w:val="00B20DF2"/>
    <w:rsid w:val="00CB65E2"/>
    <w:rsid w:val="00D42B17"/>
    <w:rsid w:val="00F33238"/>
    <w:rsid w:val="010158D6"/>
    <w:rsid w:val="01066AF3"/>
    <w:rsid w:val="010B76A4"/>
    <w:rsid w:val="01303AC5"/>
    <w:rsid w:val="0134430B"/>
    <w:rsid w:val="01533061"/>
    <w:rsid w:val="01557BDB"/>
    <w:rsid w:val="017A355E"/>
    <w:rsid w:val="01817E57"/>
    <w:rsid w:val="018362EB"/>
    <w:rsid w:val="018E16A7"/>
    <w:rsid w:val="0190608D"/>
    <w:rsid w:val="019B0ED7"/>
    <w:rsid w:val="019E5AD8"/>
    <w:rsid w:val="01A8706F"/>
    <w:rsid w:val="01D03196"/>
    <w:rsid w:val="0202311A"/>
    <w:rsid w:val="020E3242"/>
    <w:rsid w:val="02185E05"/>
    <w:rsid w:val="021C462D"/>
    <w:rsid w:val="02353B75"/>
    <w:rsid w:val="024D2E92"/>
    <w:rsid w:val="025727E8"/>
    <w:rsid w:val="02895B83"/>
    <w:rsid w:val="028A0889"/>
    <w:rsid w:val="029923E8"/>
    <w:rsid w:val="029A175F"/>
    <w:rsid w:val="02A1522A"/>
    <w:rsid w:val="02CB7F49"/>
    <w:rsid w:val="02EC5721"/>
    <w:rsid w:val="02F54CB1"/>
    <w:rsid w:val="030B47EA"/>
    <w:rsid w:val="03150713"/>
    <w:rsid w:val="033311CF"/>
    <w:rsid w:val="03415C27"/>
    <w:rsid w:val="03482366"/>
    <w:rsid w:val="034B0E7C"/>
    <w:rsid w:val="038A786D"/>
    <w:rsid w:val="03914CEF"/>
    <w:rsid w:val="03920A67"/>
    <w:rsid w:val="03932F8E"/>
    <w:rsid w:val="03AD1AEE"/>
    <w:rsid w:val="03B91F1D"/>
    <w:rsid w:val="03BE77CE"/>
    <w:rsid w:val="03C562C1"/>
    <w:rsid w:val="03D32252"/>
    <w:rsid w:val="03DC64C4"/>
    <w:rsid w:val="03E3399D"/>
    <w:rsid w:val="03EA5E52"/>
    <w:rsid w:val="03F139E0"/>
    <w:rsid w:val="03FC69D1"/>
    <w:rsid w:val="040C6A6B"/>
    <w:rsid w:val="044C2095"/>
    <w:rsid w:val="04555C3A"/>
    <w:rsid w:val="045E35EB"/>
    <w:rsid w:val="046F10E1"/>
    <w:rsid w:val="049A396F"/>
    <w:rsid w:val="04BB43DE"/>
    <w:rsid w:val="04BD5562"/>
    <w:rsid w:val="04D23B56"/>
    <w:rsid w:val="04FB74DF"/>
    <w:rsid w:val="050D2A9B"/>
    <w:rsid w:val="05216546"/>
    <w:rsid w:val="05300469"/>
    <w:rsid w:val="05554F97"/>
    <w:rsid w:val="055A5762"/>
    <w:rsid w:val="056976B3"/>
    <w:rsid w:val="0587760E"/>
    <w:rsid w:val="05A800B4"/>
    <w:rsid w:val="05A90A29"/>
    <w:rsid w:val="05A91C74"/>
    <w:rsid w:val="05AA653C"/>
    <w:rsid w:val="05D3747B"/>
    <w:rsid w:val="05E96613"/>
    <w:rsid w:val="061340E1"/>
    <w:rsid w:val="062B4E31"/>
    <w:rsid w:val="063276C3"/>
    <w:rsid w:val="0671705A"/>
    <w:rsid w:val="06944066"/>
    <w:rsid w:val="069916BB"/>
    <w:rsid w:val="06A42F8B"/>
    <w:rsid w:val="06E2312A"/>
    <w:rsid w:val="06F32700"/>
    <w:rsid w:val="071C2DA7"/>
    <w:rsid w:val="072F6ED4"/>
    <w:rsid w:val="0730481F"/>
    <w:rsid w:val="073D5BED"/>
    <w:rsid w:val="07521931"/>
    <w:rsid w:val="075B1754"/>
    <w:rsid w:val="076956BC"/>
    <w:rsid w:val="07986E10"/>
    <w:rsid w:val="07BC60B3"/>
    <w:rsid w:val="07DC6755"/>
    <w:rsid w:val="07F12200"/>
    <w:rsid w:val="081B5503"/>
    <w:rsid w:val="082500FC"/>
    <w:rsid w:val="084F111F"/>
    <w:rsid w:val="085C7B43"/>
    <w:rsid w:val="08665A12"/>
    <w:rsid w:val="08A255FF"/>
    <w:rsid w:val="08BD21C3"/>
    <w:rsid w:val="08D60177"/>
    <w:rsid w:val="08DF1698"/>
    <w:rsid w:val="08E375DA"/>
    <w:rsid w:val="08F54642"/>
    <w:rsid w:val="08F64B64"/>
    <w:rsid w:val="08F81302"/>
    <w:rsid w:val="08F90737"/>
    <w:rsid w:val="09012917"/>
    <w:rsid w:val="091C14FF"/>
    <w:rsid w:val="091E5277"/>
    <w:rsid w:val="09225959"/>
    <w:rsid w:val="092A7C7F"/>
    <w:rsid w:val="0934143A"/>
    <w:rsid w:val="093700E7"/>
    <w:rsid w:val="09542358"/>
    <w:rsid w:val="09742749"/>
    <w:rsid w:val="09886B94"/>
    <w:rsid w:val="099512B1"/>
    <w:rsid w:val="09A84B40"/>
    <w:rsid w:val="09AF2373"/>
    <w:rsid w:val="09C47FCD"/>
    <w:rsid w:val="09C862A9"/>
    <w:rsid w:val="09CF17EF"/>
    <w:rsid w:val="09E65669"/>
    <w:rsid w:val="09E956FD"/>
    <w:rsid w:val="09FA6199"/>
    <w:rsid w:val="0A122902"/>
    <w:rsid w:val="0A406D66"/>
    <w:rsid w:val="0A4D5DFC"/>
    <w:rsid w:val="0A704323"/>
    <w:rsid w:val="0A8E1F88"/>
    <w:rsid w:val="0A905DA4"/>
    <w:rsid w:val="0AAE43D8"/>
    <w:rsid w:val="0AE111AB"/>
    <w:rsid w:val="0B04224A"/>
    <w:rsid w:val="0B085573"/>
    <w:rsid w:val="0B324E44"/>
    <w:rsid w:val="0B46416C"/>
    <w:rsid w:val="0B4A3CDB"/>
    <w:rsid w:val="0B4A7E73"/>
    <w:rsid w:val="0B4D1E43"/>
    <w:rsid w:val="0B64562D"/>
    <w:rsid w:val="0B6B50BB"/>
    <w:rsid w:val="0B8503B4"/>
    <w:rsid w:val="0B8C6A3F"/>
    <w:rsid w:val="0B912679"/>
    <w:rsid w:val="0B9E6B23"/>
    <w:rsid w:val="0BB742E3"/>
    <w:rsid w:val="0BD06D17"/>
    <w:rsid w:val="0BFD0153"/>
    <w:rsid w:val="0BFF1D75"/>
    <w:rsid w:val="0C061264"/>
    <w:rsid w:val="0C087B18"/>
    <w:rsid w:val="0C1E0CB3"/>
    <w:rsid w:val="0C4D233B"/>
    <w:rsid w:val="0C8C2927"/>
    <w:rsid w:val="0C9260FE"/>
    <w:rsid w:val="0CAE535B"/>
    <w:rsid w:val="0CAE7862"/>
    <w:rsid w:val="0CC003F3"/>
    <w:rsid w:val="0CC07C45"/>
    <w:rsid w:val="0CD03425"/>
    <w:rsid w:val="0CE70F2E"/>
    <w:rsid w:val="0D1644B7"/>
    <w:rsid w:val="0D183D8B"/>
    <w:rsid w:val="0D3803A0"/>
    <w:rsid w:val="0D407177"/>
    <w:rsid w:val="0D500855"/>
    <w:rsid w:val="0D533015"/>
    <w:rsid w:val="0D7D4B3D"/>
    <w:rsid w:val="0DA10224"/>
    <w:rsid w:val="0DA331CA"/>
    <w:rsid w:val="0DB937C0"/>
    <w:rsid w:val="0DC83A03"/>
    <w:rsid w:val="0DE32C4B"/>
    <w:rsid w:val="0E00473F"/>
    <w:rsid w:val="0E1D6699"/>
    <w:rsid w:val="0E244667"/>
    <w:rsid w:val="0E2B5055"/>
    <w:rsid w:val="0E597E6B"/>
    <w:rsid w:val="0E794CFD"/>
    <w:rsid w:val="0E9E3446"/>
    <w:rsid w:val="0EA16002"/>
    <w:rsid w:val="0EA663CC"/>
    <w:rsid w:val="0EB818FA"/>
    <w:rsid w:val="0EB9334C"/>
    <w:rsid w:val="0EEA79A9"/>
    <w:rsid w:val="0EFB5BA4"/>
    <w:rsid w:val="0F037904"/>
    <w:rsid w:val="0F11369E"/>
    <w:rsid w:val="0F1B4006"/>
    <w:rsid w:val="0F2A1B00"/>
    <w:rsid w:val="0F490B74"/>
    <w:rsid w:val="0F490BFA"/>
    <w:rsid w:val="0F7010A5"/>
    <w:rsid w:val="0F706C65"/>
    <w:rsid w:val="0F9E17AE"/>
    <w:rsid w:val="0FA63EB6"/>
    <w:rsid w:val="0FBE68BA"/>
    <w:rsid w:val="0FC90344"/>
    <w:rsid w:val="0FD01A29"/>
    <w:rsid w:val="0FD022B3"/>
    <w:rsid w:val="0FD91E42"/>
    <w:rsid w:val="0FDA5C70"/>
    <w:rsid w:val="10265EFC"/>
    <w:rsid w:val="10376C1E"/>
    <w:rsid w:val="103A078E"/>
    <w:rsid w:val="106905EA"/>
    <w:rsid w:val="10833B67"/>
    <w:rsid w:val="10967DE9"/>
    <w:rsid w:val="10A06571"/>
    <w:rsid w:val="10BC17FC"/>
    <w:rsid w:val="10E056C8"/>
    <w:rsid w:val="10EA4B1F"/>
    <w:rsid w:val="10EC5C5A"/>
    <w:rsid w:val="10EE1409"/>
    <w:rsid w:val="10EE2EC7"/>
    <w:rsid w:val="111451B1"/>
    <w:rsid w:val="11145A79"/>
    <w:rsid w:val="112E0021"/>
    <w:rsid w:val="11515C5F"/>
    <w:rsid w:val="11717F0E"/>
    <w:rsid w:val="118045F5"/>
    <w:rsid w:val="11837EF8"/>
    <w:rsid w:val="118934A9"/>
    <w:rsid w:val="1193257A"/>
    <w:rsid w:val="119C0E09"/>
    <w:rsid w:val="11A43CBD"/>
    <w:rsid w:val="11B5429E"/>
    <w:rsid w:val="11CB62C8"/>
    <w:rsid w:val="11F27D2E"/>
    <w:rsid w:val="121511E1"/>
    <w:rsid w:val="12170866"/>
    <w:rsid w:val="121751A5"/>
    <w:rsid w:val="1238549D"/>
    <w:rsid w:val="124F09F7"/>
    <w:rsid w:val="127203E1"/>
    <w:rsid w:val="1279351E"/>
    <w:rsid w:val="12832DE0"/>
    <w:rsid w:val="128A572B"/>
    <w:rsid w:val="12915003"/>
    <w:rsid w:val="12AB2275"/>
    <w:rsid w:val="12B47528"/>
    <w:rsid w:val="12B74046"/>
    <w:rsid w:val="12BB3C49"/>
    <w:rsid w:val="12EB3C51"/>
    <w:rsid w:val="12ED1816"/>
    <w:rsid w:val="12F90AE8"/>
    <w:rsid w:val="131F6C1D"/>
    <w:rsid w:val="13255454"/>
    <w:rsid w:val="133E02C4"/>
    <w:rsid w:val="13466A72"/>
    <w:rsid w:val="135A32E3"/>
    <w:rsid w:val="1365318F"/>
    <w:rsid w:val="139364B3"/>
    <w:rsid w:val="13A7230D"/>
    <w:rsid w:val="13B02526"/>
    <w:rsid w:val="13CC3B21"/>
    <w:rsid w:val="13FA0939"/>
    <w:rsid w:val="14134B87"/>
    <w:rsid w:val="141740E7"/>
    <w:rsid w:val="14233D6D"/>
    <w:rsid w:val="14620107"/>
    <w:rsid w:val="146A4509"/>
    <w:rsid w:val="148F527B"/>
    <w:rsid w:val="14A234AA"/>
    <w:rsid w:val="14A514B2"/>
    <w:rsid w:val="14B41D9D"/>
    <w:rsid w:val="14B7032D"/>
    <w:rsid w:val="14C30A80"/>
    <w:rsid w:val="14CF5677"/>
    <w:rsid w:val="14D524E6"/>
    <w:rsid w:val="14E46C5E"/>
    <w:rsid w:val="14EA24B1"/>
    <w:rsid w:val="14ED1FA1"/>
    <w:rsid w:val="14F506B7"/>
    <w:rsid w:val="150449DA"/>
    <w:rsid w:val="15374E7C"/>
    <w:rsid w:val="15521769"/>
    <w:rsid w:val="156F1F26"/>
    <w:rsid w:val="15802043"/>
    <w:rsid w:val="158365BF"/>
    <w:rsid w:val="158A76A8"/>
    <w:rsid w:val="15904D03"/>
    <w:rsid w:val="15A85862"/>
    <w:rsid w:val="15A96F18"/>
    <w:rsid w:val="15BB209F"/>
    <w:rsid w:val="15CA4620"/>
    <w:rsid w:val="15DC5BEA"/>
    <w:rsid w:val="15DD7713"/>
    <w:rsid w:val="15E36470"/>
    <w:rsid w:val="15E518D3"/>
    <w:rsid w:val="16007AB2"/>
    <w:rsid w:val="162B4B2F"/>
    <w:rsid w:val="162F74D2"/>
    <w:rsid w:val="163A7083"/>
    <w:rsid w:val="16BD7459"/>
    <w:rsid w:val="16CD5BE6"/>
    <w:rsid w:val="16D779BD"/>
    <w:rsid w:val="16E96798"/>
    <w:rsid w:val="16EB4AFB"/>
    <w:rsid w:val="16ED5014"/>
    <w:rsid w:val="17047502"/>
    <w:rsid w:val="170C364F"/>
    <w:rsid w:val="172E4CF4"/>
    <w:rsid w:val="1734581C"/>
    <w:rsid w:val="17485BB5"/>
    <w:rsid w:val="17515488"/>
    <w:rsid w:val="17602EFE"/>
    <w:rsid w:val="176533B5"/>
    <w:rsid w:val="1779154B"/>
    <w:rsid w:val="17954C3E"/>
    <w:rsid w:val="17A50CDA"/>
    <w:rsid w:val="17A968FE"/>
    <w:rsid w:val="17BF7448"/>
    <w:rsid w:val="17C7635F"/>
    <w:rsid w:val="17D065BE"/>
    <w:rsid w:val="17D52E9E"/>
    <w:rsid w:val="17DE5C70"/>
    <w:rsid w:val="17EF6030"/>
    <w:rsid w:val="18087656"/>
    <w:rsid w:val="18273A1C"/>
    <w:rsid w:val="182A0E16"/>
    <w:rsid w:val="182E2947"/>
    <w:rsid w:val="18315179"/>
    <w:rsid w:val="183B3024"/>
    <w:rsid w:val="183E436E"/>
    <w:rsid w:val="184121B3"/>
    <w:rsid w:val="18414ADE"/>
    <w:rsid w:val="1844637C"/>
    <w:rsid w:val="1846612A"/>
    <w:rsid w:val="18475A69"/>
    <w:rsid w:val="18697B91"/>
    <w:rsid w:val="186D585F"/>
    <w:rsid w:val="186E164B"/>
    <w:rsid w:val="18912A5B"/>
    <w:rsid w:val="18AA2C88"/>
    <w:rsid w:val="18BA663E"/>
    <w:rsid w:val="18C41FB0"/>
    <w:rsid w:val="18E4227A"/>
    <w:rsid w:val="190478B9"/>
    <w:rsid w:val="193A6730"/>
    <w:rsid w:val="194F6D87"/>
    <w:rsid w:val="196D12E1"/>
    <w:rsid w:val="197D2521"/>
    <w:rsid w:val="1980048D"/>
    <w:rsid w:val="19921369"/>
    <w:rsid w:val="199E57CD"/>
    <w:rsid w:val="19A846E9"/>
    <w:rsid w:val="19BE13A9"/>
    <w:rsid w:val="19E27BFB"/>
    <w:rsid w:val="1A004525"/>
    <w:rsid w:val="1A010842"/>
    <w:rsid w:val="1A070B8E"/>
    <w:rsid w:val="1A1678A4"/>
    <w:rsid w:val="1A1B310D"/>
    <w:rsid w:val="1A310B82"/>
    <w:rsid w:val="1A3A17E5"/>
    <w:rsid w:val="1A55661F"/>
    <w:rsid w:val="1A584361"/>
    <w:rsid w:val="1A68285F"/>
    <w:rsid w:val="1A69108E"/>
    <w:rsid w:val="1A7471BF"/>
    <w:rsid w:val="1A88065D"/>
    <w:rsid w:val="1AB64889"/>
    <w:rsid w:val="1AE41750"/>
    <w:rsid w:val="1AF346E9"/>
    <w:rsid w:val="1B102545"/>
    <w:rsid w:val="1B1B7066"/>
    <w:rsid w:val="1B1D36AF"/>
    <w:rsid w:val="1B20387F"/>
    <w:rsid w:val="1B207747"/>
    <w:rsid w:val="1B685B9F"/>
    <w:rsid w:val="1B6973B8"/>
    <w:rsid w:val="1B79754A"/>
    <w:rsid w:val="1B9F0DFC"/>
    <w:rsid w:val="1BA73847"/>
    <w:rsid w:val="1BA900BA"/>
    <w:rsid w:val="1BCD0E63"/>
    <w:rsid w:val="1BCF6FEE"/>
    <w:rsid w:val="1BDF353D"/>
    <w:rsid w:val="1BF65BDF"/>
    <w:rsid w:val="1BFB4C41"/>
    <w:rsid w:val="1BFB4FA4"/>
    <w:rsid w:val="1C024980"/>
    <w:rsid w:val="1C083CF6"/>
    <w:rsid w:val="1C406C82"/>
    <w:rsid w:val="1C5172BA"/>
    <w:rsid w:val="1C550B58"/>
    <w:rsid w:val="1C694092"/>
    <w:rsid w:val="1C6B38EC"/>
    <w:rsid w:val="1C90431B"/>
    <w:rsid w:val="1CD02101"/>
    <w:rsid w:val="1CF814E3"/>
    <w:rsid w:val="1D012A8E"/>
    <w:rsid w:val="1D094E89"/>
    <w:rsid w:val="1D2165CB"/>
    <w:rsid w:val="1D3A1AFC"/>
    <w:rsid w:val="1D45173B"/>
    <w:rsid w:val="1DBD14F5"/>
    <w:rsid w:val="1DC348E4"/>
    <w:rsid w:val="1DC67833"/>
    <w:rsid w:val="1DD0420E"/>
    <w:rsid w:val="1DDA1F1A"/>
    <w:rsid w:val="1DF12CD9"/>
    <w:rsid w:val="1DFE521F"/>
    <w:rsid w:val="1E0F2F88"/>
    <w:rsid w:val="1E1E31CB"/>
    <w:rsid w:val="1E1E3C0F"/>
    <w:rsid w:val="1E356E9F"/>
    <w:rsid w:val="1E9972A4"/>
    <w:rsid w:val="1EAA1781"/>
    <w:rsid w:val="1EDE019C"/>
    <w:rsid w:val="1EDF295B"/>
    <w:rsid w:val="1F0D396C"/>
    <w:rsid w:val="1F1C6B47"/>
    <w:rsid w:val="1F2477BC"/>
    <w:rsid w:val="1F472762"/>
    <w:rsid w:val="1F501AAA"/>
    <w:rsid w:val="1F533349"/>
    <w:rsid w:val="1F5B67A4"/>
    <w:rsid w:val="1F7A2507"/>
    <w:rsid w:val="1F8D23B7"/>
    <w:rsid w:val="1FA976C2"/>
    <w:rsid w:val="1FC663DD"/>
    <w:rsid w:val="1FF65182"/>
    <w:rsid w:val="1FF8743B"/>
    <w:rsid w:val="201A4426"/>
    <w:rsid w:val="201F5FC0"/>
    <w:rsid w:val="20363689"/>
    <w:rsid w:val="203A14A3"/>
    <w:rsid w:val="20507829"/>
    <w:rsid w:val="207D18C2"/>
    <w:rsid w:val="207D3274"/>
    <w:rsid w:val="208C27CD"/>
    <w:rsid w:val="2099122F"/>
    <w:rsid w:val="20A91FD4"/>
    <w:rsid w:val="20D04EC4"/>
    <w:rsid w:val="20D673F0"/>
    <w:rsid w:val="21140AFD"/>
    <w:rsid w:val="2122550F"/>
    <w:rsid w:val="21432ED9"/>
    <w:rsid w:val="215F3F86"/>
    <w:rsid w:val="21656D69"/>
    <w:rsid w:val="217A6DBB"/>
    <w:rsid w:val="21815BCF"/>
    <w:rsid w:val="219043E0"/>
    <w:rsid w:val="21B10818"/>
    <w:rsid w:val="21BA77E7"/>
    <w:rsid w:val="21DD325B"/>
    <w:rsid w:val="21E85FCA"/>
    <w:rsid w:val="21EA0256"/>
    <w:rsid w:val="220152DE"/>
    <w:rsid w:val="222039B6"/>
    <w:rsid w:val="22455FEE"/>
    <w:rsid w:val="2248687E"/>
    <w:rsid w:val="22510E99"/>
    <w:rsid w:val="227834BA"/>
    <w:rsid w:val="2296284D"/>
    <w:rsid w:val="22993C71"/>
    <w:rsid w:val="229F4D0F"/>
    <w:rsid w:val="229F6D75"/>
    <w:rsid w:val="22E7062C"/>
    <w:rsid w:val="233314C7"/>
    <w:rsid w:val="2350337E"/>
    <w:rsid w:val="23533917"/>
    <w:rsid w:val="236A1C24"/>
    <w:rsid w:val="23880B7F"/>
    <w:rsid w:val="2392714D"/>
    <w:rsid w:val="23A4711A"/>
    <w:rsid w:val="23AB2B36"/>
    <w:rsid w:val="23C81B5A"/>
    <w:rsid w:val="23D03515"/>
    <w:rsid w:val="23DB7D35"/>
    <w:rsid w:val="23F74A23"/>
    <w:rsid w:val="24051729"/>
    <w:rsid w:val="242671E9"/>
    <w:rsid w:val="242B55BF"/>
    <w:rsid w:val="244514B2"/>
    <w:rsid w:val="245711E5"/>
    <w:rsid w:val="24671BF6"/>
    <w:rsid w:val="246B0E11"/>
    <w:rsid w:val="24A34895"/>
    <w:rsid w:val="24A450B7"/>
    <w:rsid w:val="24AF7273"/>
    <w:rsid w:val="24B1223A"/>
    <w:rsid w:val="24B4110F"/>
    <w:rsid w:val="24BB2CAD"/>
    <w:rsid w:val="24DF733E"/>
    <w:rsid w:val="24F17989"/>
    <w:rsid w:val="25187CCB"/>
    <w:rsid w:val="25337FBE"/>
    <w:rsid w:val="25434E5C"/>
    <w:rsid w:val="25483643"/>
    <w:rsid w:val="254A1F09"/>
    <w:rsid w:val="25616DB7"/>
    <w:rsid w:val="2570071E"/>
    <w:rsid w:val="259F2E44"/>
    <w:rsid w:val="25B763DF"/>
    <w:rsid w:val="25C03186"/>
    <w:rsid w:val="25D13FD5"/>
    <w:rsid w:val="25FF2CBA"/>
    <w:rsid w:val="26045ED9"/>
    <w:rsid w:val="261D6951"/>
    <w:rsid w:val="2621244C"/>
    <w:rsid w:val="263C4B36"/>
    <w:rsid w:val="26467763"/>
    <w:rsid w:val="266A3452"/>
    <w:rsid w:val="266B541C"/>
    <w:rsid w:val="26942CC6"/>
    <w:rsid w:val="26A56238"/>
    <w:rsid w:val="26BB1310"/>
    <w:rsid w:val="26C70F37"/>
    <w:rsid w:val="26C81069"/>
    <w:rsid w:val="26ED1845"/>
    <w:rsid w:val="26F74686"/>
    <w:rsid w:val="271C3A87"/>
    <w:rsid w:val="2724208F"/>
    <w:rsid w:val="27361586"/>
    <w:rsid w:val="273C33CE"/>
    <w:rsid w:val="27514612"/>
    <w:rsid w:val="27632DDC"/>
    <w:rsid w:val="279658C4"/>
    <w:rsid w:val="27983FEE"/>
    <w:rsid w:val="279D5271"/>
    <w:rsid w:val="27A04F78"/>
    <w:rsid w:val="27C84B7E"/>
    <w:rsid w:val="27FD02F5"/>
    <w:rsid w:val="2800279D"/>
    <w:rsid w:val="28085051"/>
    <w:rsid w:val="281B7617"/>
    <w:rsid w:val="281F026C"/>
    <w:rsid w:val="283D494F"/>
    <w:rsid w:val="284C0C99"/>
    <w:rsid w:val="2853026D"/>
    <w:rsid w:val="2859765A"/>
    <w:rsid w:val="28A349F9"/>
    <w:rsid w:val="28A65929"/>
    <w:rsid w:val="28DC422D"/>
    <w:rsid w:val="28F03BF1"/>
    <w:rsid w:val="28FC635D"/>
    <w:rsid w:val="291476A5"/>
    <w:rsid w:val="29171420"/>
    <w:rsid w:val="293418DF"/>
    <w:rsid w:val="293740BD"/>
    <w:rsid w:val="29383B11"/>
    <w:rsid w:val="29477A7A"/>
    <w:rsid w:val="295A64F2"/>
    <w:rsid w:val="296543A4"/>
    <w:rsid w:val="29701CD2"/>
    <w:rsid w:val="29916A75"/>
    <w:rsid w:val="29932CBF"/>
    <w:rsid w:val="29A47BAD"/>
    <w:rsid w:val="29BD657B"/>
    <w:rsid w:val="29D16A82"/>
    <w:rsid w:val="29EE439A"/>
    <w:rsid w:val="29F10D05"/>
    <w:rsid w:val="2A0C65CE"/>
    <w:rsid w:val="2A2C6537"/>
    <w:rsid w:val="2A4B791A"/>
    <w:rsid w:val="2A570191"/>
    <w:rsid w:val="2A6F6CAF"/>
    <w:rsid w:val="2A766CBA"/>
    <w:rsid w:val="2A77438F"/>
    <w:rsid w:val="2ABC6246"/>
    <w:rsid w:val="2AC31382"/>
    <w:rsid w:val="2AD02CC6"/>
    <w:rsid w:val="2AD63498"/>
    <w:rsid w:val="2ADC2444"/>
    <w:rsid w:val="2AEF03C9"/>
    <w:rsid w:val="2AEF78C1"/>
    <w:rsid w:val="2AF92FF6"/>
    <w:rsid w:val="2B2A0003"/>
    <w:rsid w:val="2B312790"/>
    <w:rsid w:val="2B3C50BB"/>
    <w:rsid w:val="2B781530"/>
    <w:rsid w:val="2B7F6C0E"/>
    <w:rsid w:val="2B96071F"/>
    <w:rsid w:val="2B973EFF"/>
    <w:rsid w:val="2B977260"/>
    <w:rsid w:val="2BBE1B4A"/>
    <w:rsid w:val="2BC56137"/>
    <w:rsid w:val="2BDE6429"/>
    <w:rsid w:val="2BE43B4A"/>
    <w:rsid w:val="2BE9306B"/>
    <w:rsid w:val="2BED6C85"/>
    <w:rsid w:val="2C160A15"/>
    <w:rsid w:val="2C183950"/>
    <w:rsid w:val="2C1F1B03"/>
    <w:rsid w:val="2C4E7980"/>
    <w:rsid w:val="2C596286"/>
    <w:rsid w:val="2C5A6A89"/>
    <w:rsid w:val="2C5F332D"/>
    <w:rsid w:val="2C6646BB"/>
    <w:rsid w:val="2C721A69"/>
    <w:rsid w:val="2C7967EA"/>
    <w:rsid w:val="2C81441D"/>
    <w:rsid w:val="2C873E58"/>
    <w:rsid w:val="2C8A0654"/>
    <w:rsid w:val="2CA87D75"/>
    <w:rsid w:val="2CB80ED5"/>
    <w:rsid w:val="2CBD51FC"/>
    <w:rsid w:val="2CDA0C05"/>
    <w:rsid w:val="2CE64F60"/>
    <w:rsid w:val="2D02325C"/>
    <w:rsid w:val="2D225687"/>
    <w:rsid w:val="2D355E3C"/>
    <w:rsid w:val="2D385E3D"/>
    <w:rsid w:val="2D3E7E16"/>
    <w:rsid w:val="2D4A661B"/>
    <w:rsid w:val="2D5C5ABE"/>
    <w:rsid w:val="2D801D68"/>
    <w:rsid w:val="2D807C8C"/>
    <w:rsid w:val="2D807EB2"/>
    <w:rsid w:val="2D8C101E"/>
    <w:rsid w:val="2D914D74"/>
    <w:rsid w:val="2DBF0527"/>
    <w:rsid w:val="2DBF56C9"/>
    <w:rsid w:val="2DC86CB0"/>
    <w:rsid w:val="2DD61622"/>
    <w:rsid w:val="2DE17538"/>
    <w:rsid w:val="2E1E1F8C"/>
    <w:rsid w:val="2E3513FF"/>
    <w:rsid w:val="2E372816"/>
    <w:rsid w:val="2E4722CA"/>
    <w:rsid w:val="2E550CA4"/>
    <w:rsid w:val="2E634EF9"/>
    <w:rsid w:val="2E8700A0"/>
    <w:rsid w:val="2E9D013C"/>
    <w:rsid w:val="2E9F683C"/>
    <w:rsid w:val="2EA74B17"/>
    <w:rsid w:val="2EBA08A1"/>
    <w:rsid w:val="2ECC34FD"/>
    <w:rsid w:val="2ED97D51"/>
    <w:rsid w:val="2EDE57EA"/>
    <w:rsid w:val="2EE53C24"/>
    <w:rsid w:val="2EE56BD2"/>
    <w:rsid w:val="2EEA298A"/>
    <w:rsid w:val="2EF278C8"/>
    <w:rsid w:val="2EFB0FA1"/>
    <w:rsid w:val="2F0D622E"/>
    <w:rsid w:val="2F2F55AF"/>
    <w:rsid w:val="2F386898"/>
    <w:rsid w:val="2F3A70A6"/>
    <w:rsid w:val="2F544DCF"/>
    <w:rsid w:val="2F61116A"/>
    <w:rsid w:val="2F735E66"/>
    <w:rsid w:val="2F7B779B"/>
    <w:rsid w:val="2FB10224"/>
    <w:rsid w:val="2FB43990"/>
    <w:rsid w:val="2FE02B3B"/>
    <w:rsid w:val="2FE3152D"/>
    <w:rsid w:val="2FEA0789"/>
    <w:rsid w:val="302C3AD1"/>
    <w:rsid w:val="302F1BEB"/>
    <w:rsid w:val="30326609"/>
    <w:rsid w:val="303F1549"/>
    <w:rsid w:val="305D24C2"/>
    <w:rsid w:val="30787405"/>
    <w:rsid w:val="30850D26"/>
    <w:rsid w:val="30987F2A"/>
    <w:rsid w:val="309F63EE"/>
    <w:rsid w:val="30BE39AD"/>
    <w:rsid w:val="30C9346B"/>
    <w:rsid w:val="30CD16C8"/>
    <w:rsid w:val="30D54D55"/>
    <w:rsid w:val="30E72737"/>
    <w:rsid w:val="3111170F"/>
    <w:rsid w:val="313872C0"/>
    <w:rsid w:val="313A7EC4"/>
    <w:rsid w:val="316A7CFE"/>
    <w:rsid w:val="316B6188"/>
    <w:rsid w:val="316D2048"/>
    <w:rsid w:val="318317E8"/>
    <w:rsid w:val="31910C14"/>
    <w:rsid w:val="31D547CB"/>
    <w:rsid w:val="31DA7532"/>
    <w:rsid w:val="31EF6F01"/>
    <w:rsid w:val="31FB7A10"/>
    <w:rsid w:val="3203475A"/>
    <w:rsid w:val="321C462A"/>
    <w:rsid w:val="32347FC6"/>
    <w:rsid w:val="32416AD8"/>
    <w:rsid w:val="32435D2D"/>
    <w:rsid w:val="32476D3D"/>
    <w:rsid w:val="327532C1"/>
    <w:rsid w:val="32B34019"/>
    <w:rsid w:val="32BF68D3"/>
    <w:rsid w:val="32C43EEA"/>
    <w:rsid w:val="32CB2547"/>
    <w:rsid w:val="32D62B63"/>
    <w:rsid w:val="32E50287"/>
    <w:rsid w:val="33022C64"/>
    <w:rsid w:val="33336223"/>
    <w:rsid w:val="33425043"/>
    <w:rsid w:val="334576F3"/>
    <w:rsid w:val="33460DA3"/>
    <w:rsid w:val="33734A04"/>
    <w:rsid w:val="337A5602"/>
    <w:rsid w:val="338D5B51"/>
    <w:rsid w:val="339E298D"/>
    <w:rsid w:val="339E473B"/>
    <w:rsid w:val="33B43F5E"/>
    <w:rsid w:val="33D22636"/>
    <w:rsid w:val="34062997"/>
    <w:rsid w:val="34131C0B"/>
    <w:rsid w:val="34211274"/>
    <w:rsid w:val="342440DA"/>
    <w:rsid w:val="34277762"/>
    <w:rsid w:val="343230D5"/>
    <w:rsid w:val="3434509F"/>
    <w:rsid w:val="34394A78"/>
    <w:rsid w:val="34484DA9"/>
    <w:rsid w:val="34537E5B"/>
    <w:rsid w:val="34A84E6C"/>
    <w:rsid w:val="34AA710F"/>
    <w:rsid w:val="34C06933"/>
    <w:rsid w:val="34D16345"/>
    <w:rsid w:val="34EC1E8B"/>
    <w:rsid w:val="34EE34A0"/>
    <w:rsid w:val="34F55C3C"/>
    <w:rsid w:val="34F903CE"/>
    <w:rsid w:val="3522139B"/>
    <w:rsid w:val="35294FA5"/>
    <w:rsid w:val="353C245D"/>
    <w:rsid w:val="353F250F"/>
    <w:rsid w:val="3543612F"/>
    <w:rsid w:val="3564627D"/>
    <w:rsid w:val="356D0EFE"/>
    <w:rsid w:val="357A7D68"/>
    <w:rsid w:val="358636D8"/>
    <w:rsid w:val="359010BC"/>
    <w:rsid w:val="35A10C7E"/>
    <w:rsid w:val="35AA386B"/>
    <w:rsid w:val="35B047DA"/>
    <w:rsid w:val="35B069A7"/>
    <w:rsid w:val="35C236B1"/>
    <w:rsid w:val="35C64805"/>
    <w:rsid w:val="35C67F79"/>
    <w:rsid w:val="35D20C0D"/>
    <w:rsid w:val="35E05C54"/>
    <w:rsid w:val="35ED4F07"/>
    <w:rsid w:val="360665E4"/>
    <w:rsid w:val="360C492A"/>
    <w:rsid w:val="362271D0"/>
    <w:rsid w:val="365C584E"/>
    <w:rsid w:val="36714474"/>
    <w:rsid w:val="367A449E"/>
    <w:rsid w:val="36A148BC"/>
    <w:rsid w:val="36A209E6"/>
    <w:rsid w:val="36C2145E"/>
    <w:rsid w:val="36C24BE4"/>
    <w:rsid w:val="36E61B50"/>
    <w:rsid w:val="36FD18AC"/>
    <w:rsid w:val="37111FF4"/>
    <w:rsid w:val="37186A8A"/>
    <w:rsid w:val="374D77F6"/>
    <w:rsid w:val="3761437B"/>
    <w:rsid w:val="37701980"/>
    <w:rsid w:val="378144CD"/>
    <w:rsid w:val="37985945"/>
    <w:rsid w:val="37A06236"/>
    <w:rsid w:val="37CC315A"/>
    <w:rsid w:val="37D4516A"/>
    <w:rsid w:val="37E2709A"/>
    <w:rsid w:val="37F94635"/>
    <w:rsid w:val="37FE2606"/>
    <w:rsid w:val="38141C2A"/>
    <w:rsid w:val="382316B2"/>
    <w:rsid w:val="38242C07"/>
    <w:rsid w:val="383334E4"/>
    <w:rsid w:val="385839D6"/>
    <w:rsid w:val="386046B4"/>
    <w:rsid w:val="387A58E0"/>
    <w:rsid w:val="388D4D7E"/>
    <w:rsid w:val="38A13F52"/>
    <w:rsid w:val="38B90A1D"/>
    <w:rsid w:val="38BB7B3D"/>
    <w:rsid w:val="38CD161E"/>
    <w:rsid w:val="38E93654"/>
    <w:rsid w:val="38EF3C8A"/>
    <w:rsid w:val="38F22E3B"/>
    <w:rsid w:val="38F564A9"/>
    <w:rsid w:val="38F65019"/>
    <w:rsid w:val="39044F9B"/>
    <w:rsid w:val="39074B30"/>
    <w:rsid w:val="39091573"/>
    <w:rsid w:val="39351560"/>
    <w:rsid w:val="393B3575"/>
    <w:rsid w:val="397B107A"/>
    <w:rsid w:val="398643A5"/>
    <w:rsid w:val="39AD0647"/>
    <w:rsid w:val="39AE5F7F"/>
    <w:rsid w:val="39D501AC"/>
    <w:rsid w:val="39E52346"/>
    <w:rsid w:val="39F4633B"/>
    <w:rsid w:val="3A092E06"/>
    <w:rsid w:val="3A1F08B8"/>
    <w:rsid w:val="3A1F234D"/>
    <w:rsid w:val="3A221B67"/>
    <w:rsid w:val="3A2354C1"/>
    <w:rsid w:val="3A2C03AF"/>
    <w:rsid w:val="3A301BD6"/>
    <w:rsid w:val="3A960861"/>
    <w:rsid w:val="3A974782"/>
    <w:rsid w:val="3AA02448"/>
    <w:rsid w:val="3ADD51CF"/>
    <w:rsid w:val="3AF25FD9"/>
    <w:rsid w:val="3B0A256D"/>
    <w:rsid w:val="3B16107E"/>
    <w:rsid w:val="3B273268"/>
    <w:rsid w:val="3B2B6898"/>
    <w:rsid w:val="3B547DD5"/>
    <w:rsid w:val="3B5D5890"/>
    <w:rsid w:val="3B6A75F8"/>
    <w:rsid w:val="3B7C22CE"/>
    <w:rsid w:val="3B7D164B"/>
    <w:rsid w:val="3B9E3C8C"/>
    <w:rsid w:val="3BB15CD6"/>
    <w:rsid w:val="3BB27801"/>
    <w:rsid w:val="3BC907C3"/>
    <w:rsid w:val="3BD041BD"/>
    <w:rsid w:val="3BE706E7"/>
    <w:rsid w:val="3C116C8B"/>
    <w:rsid w:val="3C1732DC"/>
    <w:rsid w:val="3C1A101E"/>
    <w:rsid w:val="3C351FEC"/>
    <w:rsid w:val="3C372AB9"/>
    <w:rsid w:val="3C3D6E30"/>
    <w:rsid w:val="3C4B08F9"/>
    <w:rsid w:val="3C5F6722"/>
    <w:rsid w:val="3C601127"/>
    <w:rsid w:val="3C7076A7"/>
    <w:rsid w:val="3C7D4FFA"/>
    <w:rsid w:val="3C97266F"/>
    <w:rsid w:val="3C9F06E6"/>
    <w:rsid w:val="3CA609F9"/>
    <w:rsid w:val="3CAB4DF4"/>
    <w:rsid w:val="3CB4681C"/>
    <w:rsid w:val="3CB96652"/>
    <w:rsid w:val="3CC404FA"/>
    <w:rsid w:val="3CCA4AB6"/>
    <w:rsid w:val="3CCE7556"/>
    <w:rsid w:val="3CE30390"/>
    <w:rsid w:val="3CED2578"/>
    <w:rsid w:val="3CF83A3A"/>
    <w:rsid w:val="3D05582A"/>
    <w:rsid w:val="3D0E6600"/>
    <w:rsid w:val="3D270ED9"/>
    <w:rsid w:val="3D6A5ADB"/>
    <w:rsid w:val="3DA37D2D"/>
    <w:rsid w:val="3DA70690"/>
    <w:rsid w:val="3DC254CA"/>
    <w:rsid w:val="3DE71E38"/>
    <w:rsid w:val="3DEB3974"/>
    <w:rsid w:val="3E0D4D6A"/>
    <w:rsid w:val="3E204054"/>
    <w:rsid w:val="3E5D398E"/>
    <w:rsid w:val="3E5E1C27"/>
    <w:rsid w:val="3E6B5A1B"/>
    <w:rsid w:val="3E725142"/>
    <w:rsid w:val="3E7E400E"/>
    <w:rsid w:val="3E805CB2"/>
    <w:rsid w:val="3E824A11"/>
    <w:rsid w:val="3E963C38"/>
    <w:rsid w:val="3EA3354D"/>
    <w:rsid w:val="3EA57ADB"/>
    <w:rsid w:val="3EB76FF8"/>
    <w:rsid w:val="3EBC0023"/>
    <w:rsid w:val="3EC26E6B"/>
    <w:rsid w:val="3EDC080D"/>
    <w:rsid w:val="3EDC25BB"/>
    <w:rsid w:val="3EF3033B"/>
    <w:rsid w:val="3EF44886"/>
    <w:rsid w:val="3EFE5F4E"/>
    <w:rsid w:val="3F033FEC"/>
    <w:rsid w:val="3F19736B"/>
    <w:rsid w:val="3F1E71E4"/>
    <w:rsid w:val="3F37083C"/>
    <w:rsid w:val="3F3F3C49"/>
    <w:rsid w:val="3F5204AB"/>
    <w:rsid w:val="3F6C005D"/>
    <w:rsid w:val="3F8B6671"/>
    <w:rsid w:val="3FCA203C"/>
    <w:rsid w:val="3FCC6AF0"/>
    <w:rsid w:val="3FE92D6E"/>
    <w:rsid w:val="402C1320"/>
    <w:rsid w:val="40694A3B"/>
    <w:rsid w:val="40763B34"/>
    <w:rsid w:val="40864ED4"/>
    <w:rsid w:val="40AC612E"/>
    <w:rsid w:val="40AD2461"/>
    <w:rsid w:val="40FB3FA6"/>
    <w:rsid w:val="40FE4A6B"/>
    <w:rsid w:val="413463FC"/>
    <w:rsid w:val="415E36CB"/>
    <w:rsid w:val="4162149D"/>
    <w:rsid w:val="41654AEA"/>
    <w:rsid w:val="416F2C20"/>
    <w:rsid w:val="418E4360"/>
    <w:rsid w:val="41924FBE"/>
    <w:rsid w:val="419D3359"/>
    <w:rsid w:val="41A7646C"/>
    <w:rsid w:val="41BF2EE9"/>
    <w:rsid w:val="41D9671B"/>
    <w:rsid w:val="41DC43C4"/>
    <w:rsid w:val="41F33D5B"/>
    <w:rsid w:val="41F64AA3"/>
    <w:rsid w:val="42073845"/>
    <w:rsid w:val="42097B6B"/>
    <w:rsid w:val="42204EB5"/>
    <w:rsid w:val="422A387A"/>
    <w:rsid w:val="423A41C8"/>
    <w:rsid w:val="423F253E"/>
    <w:rsid w:val="424D5DD2"/>
    <w:rsid w:val="42516388"/>
    <w:rsid w:val="42680ED5"/>
    <w:rsid w:val="428E3E29"/>
    <w:rsid w:val="429E0238"/>
    <w:rsid w:val="42A6445F"/>
    <w:rsid w:val="42AD4D6A"/>
    <w:rsid w:val="42B535F9"/>
    <w:rsid w:val="42D27F5D"/>
    <w:rsid w:val="42DC527F"/>
    <w:rsid w:val="42F50143"/>
    <w:rsid w:val="42FD4889"/>
    <w:rsid w:val="43081263"/>
    <w:rsid w:val="430D2292"/>
    <w:rsid w:val="432F45F6"/>
    <w:rsid w:val="43406345"/>
    <w:rsid w:val="43596781"/>
    <w:rsid w:val="435B008F"/>
    <w:rsid w:val="437B3031"/>
    <w:rsid w:val="438D102F"/>
    <w:rsid w:val="43A53FB6"/>
    <w:rsid w:val="43CB720D"/>
    <w:rsid w:val="44190C44"/>
    <w:rsid w:val="442831F0"/>
    <w:rsid w:val="4434258C"/>
    <w:rsid w:val="443D1FF8"/>
    <w:rsid w:val="443F332B"/>
    <w:rsid w:val="44670B79"/>
    <w:rsid w:val="44822CAE"/>
    <w:rsid w:val="44897731"/>
    <w:rsid w:val="448E55A6"/>
    <w:rsid w:val="449179F9"/>
    <w:rsid w:val="449965B2"/>
    <w:rsid w:val="449C3D77"/>
    <w:rsid w:val="44A41B52"/>
    <w:rsid w:val="44B70D69"/>
    <w:rsid w:val="44BA6CE2"/>
    <w:rsid w:val="44C361BB"/>
    <w:rsid w:val="44CD4E80"/>
    <w:rsid w:val="44D3620E"/>
    <w:rsid w:val="44E478FB"/>
    <w:rsid w:val="44EF207E"/>
    <w:rsid w:val="44F55BEC"/>
    <w:rsid w:val="45383520"/>
    <w:rsid w:val="4547090C"/>
    <w:rsid w:val="45483442"/>
    <w:rsid w:val="456865C8"/>
    <w:rsid w:val="457E374A"/>
    <w:rsid w:val="45AC0F39"/>
    <w:rsid w:val="45AD2F03"/>
    <w:rsid w:val="45BC665E"/>
    <w:rsid w:val="45C041D4"/>
    <w:rsid w:val="45C94EBB"/>
    <w:rsid w:val="45EA0E0B"/>
    <w:rsid w:val="45F67B77"/>
    <w:rsid w:val="45FE3396"/>
    <w:rsid w:val="46080139"/>
    <w:rsid w:val="462055A4"/>
    <w:rsid w:val="464469AD"/>
    <w:rsid w:val="465B5203"/>
    <w:rsid w:val="466A4950"/>
    <w:rsid w:val="466B7DB7"/>
    <w:rsid w:val="46712460"/>
    <w:rsid w:val="46737A24"/>
    <w:rsid w:val="46997031"/>
    <w:rsid w:val="46AE7B45"/>
    <w:rsid w:val="46BF4C9C"/>
    <w:rsid w:val="46D039C6"/>
    <w:rsid w:val="46E2577B"/>
    <w:rsid w:val="472727AF"/>
    <w:rsid w:val="47590191"/>
    <w:rsid w:val="47725F78"/>
    <w:rsid w:val="477A5294"/>
    <w:rsid w:val="477C35C2"/>
    <w:rsid w:val="4782041E"/>
    <w:rsid w:val="47A61E03"/>
    <w:rsid w:val="47BA3333"/>
    <w:rsid w:val="47D03087"/>
    <w:rsid w:val="47D309BE"/>
    <w:rsid w:val="47E36768"/>
    <w:rsid w:val="480A4F84"/>
    <w:rsid w:val="481B02EE"/>
    <w:rsid w:val="481E51B7"/>
    <w:rsid w:val="48220007"/>
    <w:rsid w:val="48335942"/>
    <w:rsid w:val="4854246B"/>
    <w:rsid w:val="48895562"/>
    <w:rsid w:val="488B30E8"/>
    <w:rsid w:val="489B7043"/>
    <w:rsid w:val="48AD3910"/>
    <w:rsid w:val="48C00022"/>
    <w:rsid w:val="48D72771"/>
    <w:rsid w:val="49334A3D"/>
    <w:rsid w:val="493C25D4"/>
    <w:rsid w:val="496570C9"/>
    <w:rsid w:val="49795470"/>
    <w:rsid w:val="4993038A"/>
    <w:rsid w:val="49961C68"/>
    <w:rsid w:val="49995C78"/>
    <w:rsid w:val="49B758A3"/>
    <w:rsid w:val="49B81F5D"/>
    <w:rsid w:val="49CA20C3"/>
    <w:rsid w:val="49CC7BD1"/>
    <w:rsid w:val="49CE62AB"/>
    <w:rsid w:val="49E14F29"/>
    <w:rsid w:val="49E52C6C"/>
    <w:rsid w:val="49FE1F7F"/>
    <w:rsid w:val="49FE5BC7"/>
    <w:rsid w:val="4A015F35"/>
    <w:rsid w:val="4A1B1B18"/>
    <w:rsid w:val="4A2E423F"/>
    <w:rsid w:val="4A2E5059"/>
    <w:rsid w:val="4A2F6E80"/>
    <w:rsid w:val="4A34774F"/>
    <w:rsid w:val="4A37232B"/>
    <w:rsid w:val="4A4E2462"/>
    <w:rsid w:val="4A6825AF"/>
    <w:rsid w:val="4A6E2C61"/>
    <w:rsid w:val="4A751BDE"/>
    <w:rsid w:val="4A82495E"/>
    <w:rsid w:val="4B022627"/>
    <w:rsid w:val="4B0B4954"/>
    <w:rsid w:val="4B0F3CA2"/>
    <w:rsid w:val="4B18698F"/>
    <w:rsid w:val="4B2A2861"/>
    <w:rsid w:val="4B5A0AB7"/>
    <w:rsid w:val="4B65256F"/>
    <w:rsid w:val="4B690DD1"/>
    <w:rsid w:val="4B756271"/>
    <w:rsid w:val="4B942E73"/>
    <w:rsid w:val="4BB90B9F"/>
    <w:rsid w:val="4BBE68FC"/>
    <w:rsid w:val="4BE215CD"/>
    <w:rsid w:val="4C0B09E6"/>
    <w:rsid w:val="4C1710D6"/>
    <w:rsid w:val="4C2263E4"/>
    <w:rsid w:val="4C697C70"/>
    <w:rsid w:val="4C7212E4"/>
    <w:rsid w:val="4C827720"/>
    <w:rsid w:val="4CA3548E"/>
    <w:rsid w:val="4CA40E66"/>
    <w:rsid w:val="4CC759FC"/>
    <w:rsid w:val="4CD260D6"/>
    <w:rsid w:val="4CF03923"/>
    <w:rsid w:val="4D022B85"/>
    <w:rsid w:val="4D210A97"/>
    <w:rsid w:val="4D4C3504"/>
    <w:rsid w:val="4D5C4E73"/>
    <w:rsid w:val="4D5E2D84"/>
    <w:rsid w:val="4D6C0FAE"/>
    <w:rsid w:val="4D7507CE"/>
    <w:rsid w:val="4D754306"/>
    <w:rsid w:val="4D8667BE"/>
    <w:rsid w:val="4D983D7C"/>
    <w:rsid w:val="4DDA060D"/>
    <w:rsid w:val="4DFC2FC7"/>
    <w:rsid w:val="4E0A119D"/>
    <w:rsid w:val="4E181097"/>
    <w:rsid w:val="4E191136"/>
    <w:rsid w:val="4E1F6CA5"/>
    <w:rsid w:val="4E276EA1"/>
    <w:rsid w:val="4E344348"/>
    <w:rsid w:val="4E3B5550"/>
    <w:rsid w:val="4E45017D"/>
    <w:rsid w:val="4E450317"/>
    <w:rsid w:val="4E4F30C8"/>
    <w:rsid w:val="4E562DA0"/>
    <w:rsid w:val="4E5C46C4"/>
    <w:rsid w:val="4E6A1AFA"/>
    <w:rsid w:val="4E6A60E0"/>
    <w:rsid w:val="4E701775"/>
    <w:rsid w:val="4E7E4E2A"/>
    <w:rsid w:val="4E82307A"/>
    <w:rsid w:val="4EA50C1B"/>
    <w:rsid w:val="4EA976CA"/>
    <w:rsid w:val="4EBA73A4"/>
    <w:rsid w:val="4EC259EC"/>
    <w:rsid w:val="4EDD011F"/>
    <w:rsid w:val="4EF66F43"/>
    <w:rsid w:val="4F2E1C1A"/>
    <w:rsid w:val="4F360F61"/>
    <w:rsid w:val="4F3C25D7"/>
    <w:rsid w:val="4F495B78"/>
    <w:rsid w:val="4F4F47F2"/>
    <w:rsid w:val="4F563CC4"/>
    <w:rsid w:val="4F6350F3"/>
    <w:rsid w:val="4F6F4D85"/>
    <w:rsid w:val="4F7A3F42"/>
    <w:rsid w:val="4F7C7BCE"/>
    <w:rsid w:val="4FA4335C"/>
    <w:rsid w:val="4FB16037"/>
    <w:rsid w:val="4FC128FB"/>
    <w:rsid w:val="4FCE5FEA"/>
    <w:rsid w:val="4FD74E04"/>
    <w:rsid w:val="4FE30D27"/>
    <w:rsid w:val="4FEC3179"/>
    <w:rsid w:val="4FEC320A"/>
    <w:rsid w:val="4FEE65F2"/>
    <w:rsid w:val="4FF21C3E"/>
    <w:rsid w:val="50246532"/>
    <w:rsid w:val="502D1F04"/>
    <w:rsid w:val="50354221"/>
    <w:rsid w:val="5079410E"/>
    <w:rsid w:val="50953188"/>
    <w:rsid w:val="50CC4388"/>
    <w:rsid w:val="50D5692A"/>
    <w:rsid w:val="50D76F93"/>
    <w:rsid w:val="50DA1C42"/>
    <w:rsid w:val="51177FFB"/>
    <w:rsid w:val="51223255"/>
    <w:rsid w:val="512978E2"/>
    <w:rsid w:val="512C2F2E"/>
    <w:rsid w:val="51A93B81"/>
    <w:rsid w:val="51B722DE"/>
    <w:rsid w:val="51D37506"/>
    <w:rsid w:val="51DF3856"/>
    <w:rsid w:val="520F3BF8"/>
    <w:rsid w:val="523302EC"/>
    <w:rsid w:val="524D112C"/>
    <w:rsid w:val="527B1E72"/>
    <w:rsid w:val="5288688A"/>
    <w:rsid w:val="52A01837"/>
    <w:rsid w:val="52B16251"/>
    <w:rsid w:val="52BB0A0D"/>
    <w:rsid w:val="52CE04EC"/>
    <w:rsid w:val="53311592"/>
    <w:rsid w:val="533E63B8"/>
    <w:rsid w:val="534722A1"/>
    <w:rsid w:val="53856213"/>
    <w:rsid w:val="5396277D"/>
    <w:rsid w:val="539B6AD1"/>
    <w:rsid w:val="53AE15D6"/>
    <w:rsid w:val="53B05B99"/>
    <w:rsid w:val="53BA05FF"/>
    <w:rsid w:val="53BC2B34"/>
    <w:rsid w:val="53BE4875"/>
    <w:rsid w:val="53C9479B"/>
    <w:rsid w:val="53CA4C80"/>
    <w:rsid w:val="53E54282"/>
    <w:rsid w:val="53E64F29"/>
    <w:rsid w:val="53FB5D86"/>
    <w:rsid w:val="5402266C"/>
    <w:rsid w:val="541D1254"/>
    <w:rsid w:val="54271E31"/>
    <w:rsid w:val="54280E0A"/>
    <w:rsid w:val="546970A5"/>
    <w:rsid w:val="54B020C8"/>
    <w:rsid w:val="54BC0A6D"/>
    <w:rsid w:val="54BE7AB0"/>
    <w:rsid w:val="54D74270"/>
    <w:rsid w:val="54F07C86"/>
    <w:rsid w:val="55023B9E"/>
    <w:rsid w:val="551C775D"/>
    <w:rsid w:val="554856A7"/>
    <w:rsid w:val="554C3D99"/>
    <w:rsid w:val="554C6868"/>
    <w:rsid w:val="55600DE7"/>
    <w:rsid w:val="5563713A"/>
    <w:rsid w:val="556C5FB7"/>
    <w:rsid w:val="55807626"/>
    <w:rsid w:val="55820257"/>
    <w:rsid w:val="55837302"/>
    <w:rsid w:val="559B619B"/>
    <w:rsid w:val="55AD3642"/>
    <w:rsid w:val="55B856D8"/>
    <w:rsid w:val="55DD0DD7"/>
    <w:rsid w:val="55DD0F96"/>
    <w:rsid w:val="55E07463"/>
    <w:rsid w:val="55EB0B67"/>
    <w:rsid w:val="561D62FA"/>
    <w:rsid w:val="56206DD9"/>
    <w:rsid w:val="563C64C0"/>
    <w:rsid w:val="5648247B"/>
    <w:rsid w:val="567710EF"/>
    <w:rsid w:val="567A0BDF"/>
    <w:rsid w:val="56A313AC"/>
    <w:rsid w:val="56A47A0A"/>
    <w:rsid w:val="56A93273"/>
    <w:rsid w:val="56AB67A8"/>
    <w:rsid w:val="56AD0282"/>
    <w:rsid w:val="56CB036E"/>
    <w:rsid w:val="56F52014"/>
    <w:rsid w:val="56FD475E"/>
    <w:rsid w:val="572660CB"/>
    <w:rsid w:val="574C257C"/>
    <w:rsid w:val="57542D95"/>
    <w:rsid w:val="575B289F"/>
    <w:rsid w:val="57816FA7"/>
    <w:rsid w:val="579D3706"/>
    <w:rsid w:val="57AE79CC"/>
    <w:rsid w:val="57B008F8"/>
    <w:rsid w:val="57F735D4"/>
    <w:rsid w:val="58006D7A"/>
    <w:rsid w:val="581520D3"/>
    <w:rsid w:val="5818245E"/>
    <w:rsid w:val="582D1274"/>
    <w:rsid w:val="58386AD7"/>
    <w:rsid w:val="5841735E"/>
    <w:rsid w:val="584D57EF"/>
    <w:rsid w:val="585724AA"/>
    <w:rsid w:val="58737694"/>
    <w:rsid w:val="58777496"/>
    <w:rsid w:val="587C73D2"/>
    <w:rsid w:val="588F0AB8"/>
    <w:rsid w:val="58AF4966"/>
    <w:rsid w:val="58C0238E"/>
    <w:rsid w:val="58C3061C"/>
    <w:rsid w:val="58D16870"/>
    <w:rsid w:val="58D258C3"/>
    <w:rsid w:val="58E701E7"/>
    <w:rsid w:val="58EF7663"/>
    <w:rsid w:val="58F67029"/>
    <w:rsid w:val="591C666C"/>
    <w:rsid w:val="593F74A4"/>
    <w:rsid w:val="594325DD"/>
    <w:rsid w:val="59445C8D"/>
    <w:rsid w:val="596A4945"/>
    <w:rsid w:val="596F757E"/>
    <w:rsid w:val="597C685E"/>
    <w:rsid w:val="59973856"/>
    <w:rsid w:val="599D68CD"/>
    <w:rsid w:val="59B91A1F"/>
    <w:rsid w:val="59BD32BD"/>
    <w:rsid w:val="59CA7788"/>
    <w:rsid w:val="59DF129E"/>
    <w:rsid w:val="59EC76FE"/>
    <w:rsid w:val="5A1153B7"/>
    <w:rsid w:val="5A3F74E6"/>
    <w:rsid w:val="5A4A1BE7"/>
    <w:rsid w:val="5A507568"/>
    <w:rsid w:val="5A5B1C29"/>
    <w:rsid w:val="5A7668FF"/>
    <w:rsid w:val="5A7A11AE"/>
    <w:rsid w:val="5AB218B5"/>
    <w:rsid w:val="5ABD348A"/>
    <w:rsid w:val="5ABD7F76"/>
    <w:rsid w:val="5AF745AD"/>
    <w:rsid w:val="5B172EA1"/>
    <w:rsid w:val="5B32736D"/>
    <w:rsid w:val="5B625688"/>
    <w:rsid w:val="5B752E6F"/>
    <w:rsid w:val="5B841BB9"/>
    <w:rsid w:val="5B876AF2"/>
    <w:rsid w:val="5B8878FB"/>
    <w:rsid w:val="5BA47E7A"/>
    <w:rsid w:val="5BE90413"/>
    <w:rsid w:val="5BE93B37"/>
    <w:rsid w:val="5BEA18E1"/>
    <w:rsid w:val="5BED6CCE"/>
    <w:rsid w:val="5C2E2250"/>
    <w:rsid w:val="5C422F84"/>
    <w:rsid w:val="5C653D22"/>
    <w:rsid w:val="5C8207EE"/>
    <w:rsid w:val="5C9432F2"/>
    <w:rsid w:val="5CA4290E"/>
    <w:rsid w:val="5CA86424"/>
    <w:rsid w:val="5CE648D9"/>
    <w:rsid w:val="5CF4587C"/>
    <w:rsid w:val="5CFA3B38"/>
    <w:rsid w:val="5CFF7BBB"/>
    <w:rsid w:val="5D086F45"/>
    <w:rsid w:val="5D0C00B7"/>
    <w:rsid w:val="5D1A6C78"/>
    <w:rsid w:val="5D624672"/>
    <w:rsid w:val="5D66434D"/>
    <w:rsid w:val="5D7321C0"/>
    <w:rsid w:val="5D7C35D6"/>
    <w:rsid w:val="5D85512F"/>
    <w:rsid w:val="5DB5581C"/>
    <w:rsid w:val="5DB56120"/>
    <w:rsid w:val="5DCF6841"/>
    <w:rsid w:val="5DD2261F"/>
    <w:rsid w:val="5DDB4A18"/>
    <w:rsid w:val="5DF07D0F"/>
    <w:rsid w:val="5E07553B"/>
    <w:rsid w:val="5E101BDD"/>
    <w:rsid w:val="5E45487F"/>
    <w:rsid w:val="5E7F5A64"/>
    <w:rsid w:val="5E960581"/>
    <w:rsid w:val="5EA507C4"/>
    <w:rsid w:val="5EDD4049"/>
    <w:rsid w:val="5EE67380"/>
    <w:rsid w:val="5F0F70B5"/>
    <w:rsid w:val="5F23113D"/>
    <w:rsid w:val="5F41673E"/>
    <w:rsid w:val="5F4643B3"/>
    <w:rsid w:val="5F464B84"/>
    <w:rsid w:val="5F4F6AE5"/>
    <w:rsid w:val="5F7616CB"/>
    <w:rsid w:val="5F7C4D90"/>
    <w:rsid w:val="5F8D4836"/>
    <w:rsid w:val="5F954394"/>
    <w:rsid w:val="5FC6631D"/>
    <w:rsid w:val="5FF3687D"/>
    <w:rsid w:val="60043D09"/>
    <w:rsid w:val="600A7C61"/>
    <w:rsid w:val="603D2175"/>
    <w:rsid w:val="6059455F"/>
    <w:rsid w:val="60687416"/>
    <w:rsid w:val="6071095D"/>
    <w:rsid w:val="607F3238"/>
    <w:rsid w:val="60A93B9E"/>
    <w:rsid w:val="60B60A66"/>
    <w:rsid w:val="60C03693"/>
    <w:rsid w:val="60C97425"/>
    <w:rsid w:val="60CD7DE1"/>
    <w:rsid w:val="60D338C2"/>
    <w:rsid w:val="60E2116F"/>
    <w:rsid w:val="60F22ECF"/>
    <w:rsid w:val="61020DA3"/>
    <w:rsid w:val="6109328C"/>
    <w:rsid w:val="612A3532"/>
    <w:rsid w:val="612A78BE"/>
    <w:rsid w:val="612D6DB7"/>
    <w:rsid w:val="61442516"/>
    <w:rsid w:val="61787FB7"/>
    <w:rsid w:val="61882679"/>
    <w:rsid w:val="619C2EE1"/>
    <w:rsid w:val="61AF36E7"/>
    <w:rsid w:val="61E73E80"/>
    <w:rsid w:val="61EE2C5E"/>
    <w:rsid w:val="62397BA1"/>
    <w:rsid w:val="62427342"/>
    <w:rsid w:val="62455955"/>
    <w:rsid w:val="62514EEA"/>
    <w:rsid w:val="62544AB7"/>
    <w:rsid w:val="62691AE8"/>
    <w:rsid w:val="626F35C2"/>
    <w:rsid w:val="62743B2B"/>
    <w:rsid w:val="62AA0157"/>
    <w:rsid w:val="62C5540B"/>
    <w:rsid w:val="62E311B7"/>
    <w:rsid w:val="62FB0399"/>
    <w:rsid w:val="630C2A77"/>
    <w:rsid w:val="63466658"/>
    <w:rsid w:val="634F07DE"/>
    <w:rsid w:val="637E750A"/>
    <w:rsid w:val="63826A40"/>
    <w:rsid w:val="63952888"/>
    <w:rsid w:val="6398234C"/>
    <w:rsid w:val="639B6379"/>
    <w:rsid w:val="63BB214C"/>
    <w:rsid w:val="63E6385D"/>
    <w:rsid w:val="63F3509D"/>
    <w:rsid w:val="64325642"/>
    <w:rsid w:val="64371EBE"/>
    <w:rsid w:val="643C74D4"/>
    <w:rsid w:val="64552344"/>
    <w:rsid w:val="645A51F0"/>
    <w:rsid w:val="646B1B68"/>
    <w:rsid w:val="646E2976"/>
    <w:rsid w:val="647E6A0A"/>
    <w:rsid w:val="64B452BD"/>
    <w:rsid w:val="64BF015A"/>
    <w:rsid w:val="64C354A8"/>
    <w:rsid w:val="65261E3F"/>
    <w:rsid w:val="652D27E3"/>
    <w:rsid w:val="657C51E1"/>
    <w:rsid w:val="65942DC5"/>
    <w:rsid w:val="65C6537D"/>
    <w:rsid w:val="65DA51F7"/>
    <w:rsid w:val="6605645B"/>
    <w:rsid w:val="660C5123"/>
    <w:rsid w:val="660D37F9"/>
    <w:rsid w:val="662365B2"/>
    <w:rsid w:val="662F5543"/>
    <w:rsid w:val="66395F1F"/>
    <w:rsid w:val="66510A6B"/>
    <w:rsid w:val="66594662"/>
    <w:rsid w:val="66681F38"/>
    <w:rsid w:val="66893088"/>
    <w:rsid w:val="6692162D"/>
    <w:rsid w:val="669B044E"/>
    <w:rsid w:val="669D3016"/>
    <w:rsid w:val="66C64D11"/>
    <w:rsid w:val="66C96E18"/>
    <w:rsid w:val="66E472DF"/>
    <w:rsid w:val="66E85EDA"/>
    <w:rsid w:val="67043477"/>
    <w:rsid w:val="670E11C4"/>
    <w:rsid w:val="670E4A09"/>
    <w:rsid w:val="67222D38"/>
    <w:rsid w:val="67292542"/>
    <w:rsid w:val="675E4F24"/>
    <w:rsid w:val="677976CD"/>
    <w:rsid w:val="67AE6C66"/>
    <w:rsid w:val="67C50DDA"/>
    <w:rsid w:val="67D320DA"/>
    <w:rsid w:val="67DC34C5"/>
    <w:rsid w:val="67F07621"/>
    <w:rsid w:val="6809591F"/>
    <w:rsid w:val="6832581D"/>
    <w:rsid w:val="68494705"/>
    <w:rsid w:val="684E5A28"/>
    <w:rsid w:val="68596BF8"/>
    <w:rsid w:val="68836FA9"/>
    <w:rsid w:val="688E4077"/>
    <w:rsid w:val="688F22C8"/>
    <w:rsid w:val="68A35D74"/>
    <w:rsid w:val="68F51DB6"/>
    <w:rsid w:val="69085BD7"/>
    <w:rsid w:val="690E546B"/>
    <w:rsid w:val="692502B1"/>
    <w:rsid w:val="696926F6"/>
    <w:rsid w:val="697106DA"/>
    <w:rsid w:val="69913E1E"/>
    <w:rsid w:val="69974233"/>
    <w:rsid w:val="699D3B18"/>
    <w:rsid w:val="69C2047C"/>
    <w:rsid w:val="69D12FAB"/>
    <w:rsid w:val="69E860BE"/>
    <w:rsid w:val="69EE142C"/>
    <w:rsid w:val="6A002749"/>
    <w:rsid w:val="6A1B7B8C"/>
    <w:rsid w:val="6A260A0B"/>
    <w:rsid w:val="6A550E2D"/>
    <w:rsid w:val="6A5E5800"/>
    <w:rsid w:val="6A7E425B"/>
    <w:rsid w:val="6AAA3687"/>
    <w:rsid w:val="6AB02EC8"/>
    <w:rsid w:val="6AB57AAC"/>
    <w:rsid w:val="6AB97F48"/>
    <w:rsid w:val="6AEE1530"/>
    <w:rsid w:val="6B361FF1"/>
    <w:rsid w:val="6B431BB7"/>
    <w:rsid w:val="6B563571"/>
    <w:rsid w:val="6B6463DB"/>
    <w:rsid w:val="6B6D2669"/>
    <w:rsid w:val="6B9635CC"/>
    <w:rsid w:val="6BA2085F"/>
    <w:rsid w:val="6BA50055"/>
    <w:rsid w:val="6BD675FB"/>
    <w:rsid w:val="6BE403B3"/>
    <w:rsid w:val="6C0E6F18"/>
    <w:rsid w:val="6C22436F"/>
    <w:rsid w:val="6C3C3912"/>
    <w:rsid w:val="6C3C552F"/>
    <w:rsid w:val="6C483165"/>
    <w:rsid w:val="6C4D3224"/>
    <w:rsid w:val="6C6E5829"/>
    <w:rsid w:val="6C7269F5"/>
    <w:rsid w:val="6C87685D"/>
    <w:rsid w:val="6C892B57"/>
    <w:rsid w:val="6C8F338F"/>
    <w:rsid w:val="6CA869EA"/>
    <w:rsid w:val="6CB266E8"/>
    <w:rsid w:val="6CD959BF"/>
    <w:rsid w:val="6D017CFE"/>
    <w:rsid w:val="6D117BB8"/>
    <w:rsid w:val="6D321474"/>
    <w:rsid w:val="6D5F4916"/>
    <w:rsid w:val="6D623707"/>
    <w:rsid w:val="6D6F36BE"/>
    <w:rsid w:val="6D847868"/>
    <w:rsid w:val="6DB405C9"/>
    <w:rsid w:val="6DD95F03"/>
    <w:rsid w:val="6DEA7FA1"/>
    <w:rsid w:val="6E0830F2"/>
    <w:rsid w:val="6E43329D"/>
    <w:rsid w:val="6E620AFC"/>
    <w:rsid w:val="6E6C623F"/>
    <w:rsid w:val="6E9D6087"/>
    <w:rsid w:val="6ECB1B80"/>
    <w:rsid w:val="6EDE16AE"/>
    <w:rsid w:val="6EE656EB"/>
    <w:rsid w:val="6F086B90"/>
    <w:rsid w:val="6F23376B"/>
    <w:rsid w:val="6F827607"/>
    <w:rsid w:val="6F8C7562"/>
    <w:rsid w:val="6FA80114"/>
    <w:rsid w:val="6FB552EF"/>
    <w:rsid w:val="70081277"/>
    <w:rsid w:val="70221BD4"/>
    <w:rsid w:val="70394FFF"/>
    <w:rsid w:val="704110BE"/>
    <w:rsid w:val="70532C68"/>
    <w:rsid w:val="706011EA"/>
    <w:rsid w:val="70616CF3"/>
    <w:rsid w:val="706B71C1"/>
    <w:rsid w:val="7080127F"/>
    <w:rsid w:val="70811BB0"/>
    <w:rsid w:val="70A80084"/>
    <w:rsid w:val="70C4673F"/>
    <w:rsid w:val="70C97FCB"/>
    <w:rsid w:val="70D07922"/>
    <w:rsid w:val="70DF36C1"/>
    <w:rsid w:val="70E941EC"/>
    <w:rsid w:val="70EC07C5"/>
    <w:rsid w:val="70F03B20"/>
    <w:rsid w:val="7103370B"/>
    <w:rsid w:val="71074A37"/>
    <w:rsid w:val="711D243B"/>
    <w:rsid w:val="713D663A"/>
    <w:rsid w:val="715D7825"/>
    <w:rsid w:val="7172181B"/>
    <w:rsid w:val="71A75E6F"/>
    <w:rsid w:val="71B2527A"/>
    <w:rsid w:val="71C7452F"/>
    <w:rsid w:val="71F35394"/>
    <w:rsid w:val="72044C64"/>
    <w:rsid w:val="722D5A5A"/>
    <w:rsid w:val="724A2A62"/>
    <w:rsid w:val="728C593D"/>
    <w:rsid w:val="72CD2AD8"/>
    <w:rsid w:val="72E476B5"/>
    <w:rsid w:val="72EA1B5C"/>
    <w:rsid w:val="730B4C41"/>
    <w:rsid w:val="73254680"/>
    <w:rsid w:val="732A4E62"/>
    <w:rsid w:val="73337BAC"/>
    <w:rsid w:val="7344488C"/>
    <w:rsid w:val="736D05BE"/>
    <w:rsid w:val="73741D9B"/>
    <w:rsid w:val="737C7BDB"/>
    <w:rsid w:val="738270AF"/>
    <w:rsid w:val="738A025C"/>
    <w:rsid w:val="738E372E"/>
    <w:rsid w:val="738F5872"/>
    <w:rsid w:val="740238DF"/>
    <w:rsid w:val="742E2A8B"/>
    <w:rsid w:val="74327CB2"/>
    <w:rsid w:val="74371FA8"/>
    <w:rsid w:val="743957DE"/>
    <w:rsid w:val="74796361"/>
    <w:rsid w:val="74822CE1"/>
    <w:rsid w:val="74915494"/>
    <w:rsid w:val="74D3353D"/>
    <w:rsid w:val="74D53D0D"/>
    <w:rsid w:val="75104170"/>
    <w:rsid w:val="751E0BB4"/>
    <w:rsid w:val="753069F6"/>
    <w:rsid w:val="75383CE8"/>
    <w:rsid w:val="753D26E5"/>
    <w:rsid w:val="7559369A"/>
    <w:rsid w:val="75630789"/>
    <w:rsid w:val="756B1B15"/>
    <w:rsid w:val="75980D9E"/>
    <w:rsid w:val="75994F3E"/>
    <w:rsid w:val="75A847A4"/>
    <w:rsid w:val="75D67879"/>
    <w:rsid w:val="76174C1B"/>
    <w:rsid w:val="76393203"/>
    <w:rsid w:val="76816947"/>
    <w:rsid w:val="76824276"/>
    <w:rsid w:val="7687630D"/>
    <w:rsid w:val="768C6099"/>
    <w:rsid w:val="76C375E1"/>
    <w:rsid w:val="76C60A0A"/>
    <w:rsid w:val="76FF6ABD"/>
    <w:rsid w:val="77030129"/>
    <w:rsid w:val="774E60B3"/>
    <w:rsid w:val="778C6933"/>
    <w:rsid w:val="779E3E86"/>
    <w:rsid w:val="77BF249E"/>
    <w:rsid w:val="77C35FDF"/>
    <w:rsid w:val="77E141C3"/>
    <w:rsid w:val="77E55684"/>
    <w:rsid w:val="77ED700C"/>
    <w:rsid w:val="77F967D4"/>
    <w:rsid w:val="77FA44C4"/>
    <w:rsid w:val="780505F7"/>
    <w:rsid w:val="781346C0"/>
    <w:rsid w:val="7848003C"/>
    <w:rsid w:val="7869411A"/>
    <w:rsid w:val="786D673B"/>
    <w:rsid w:val="786F17CF"/>
    <w:rsid w:val="78A14104"/>
    <w:rsid w:val="78A551F0"/>
    <w:rsid w:val="78BF08BB"/>
    <w:rsid w:val="78CC1A56"/>
    <w:rsid w:val="78E07432"/>
    <w:rsid w:val="78EF29B1"/>
    <w:rsid w:val="790A75F0"/>
    <w:rsid w:val="791E4FA3"/>
    <w:rsid w:val="79250B40"/>
    <w:rsid w:val="79357BD6"/>
    <w:rsid w:val="79450781"/>
    <w:rsid w:val="795141AE"/>
    <w:rsid w:val="79515863"/>
    <w:rsid w:val="795952D6"/>
    <w:rsid w:val="797360FE"/>
    <w:rsid w:val="797F6400"/>
    <w:rsid w:val="79854592"/>
    <w:rsid w:val="79983135"/>
    <w:rsid w:val="799B7346"/>
    <w:rsid w:val="79A33E26"/>
    <w:rsid w:val="79A35FDF"/>
    <w:rsid w:val="79AC21E9"/>
    <w:rsid w:val="79B53B59"/>
    <w:rsid w:val="79D71CA5"/>
    <w:rsid w:val="79D833A4"/>
    <w:rsid w:val="7A3D06C4"/>
    <w:rsid w:val="7A426E1E"/>
    <w:rsid w:val="7A5507DB"/>
    <w:rsid w:val="7A5549F4"/>
    <w:rsid w:val="7A652E89"/>
    <w:rsid w:val="7A783744"/>
    <w:rsid w:val="7AA2733A"/>
    <w:rsid w:val="7AB04B7E"/>
    <w:rsid w:val="7ACC274F"/>
    <w:rsid w:val="7ADB75EF"/>
    <w:rsid w:val="7AFB4B0C"/>
    <w:rsid w:val="7B1C69F9"/>
    <w:rsid w:val="7B385518"/>
    <w:rsid w:val="7B476033"/>
    <w:rsid w:val="7B571B29"/>
    <w:rsid w:val="7B60100F"/>
    <w:rsid w:val="7B656EB9"/>
    <w:rsid w:val="7B67294E"/>
    <w:rsid w:val="7B6E0463"/>
    <w:rsid w:val="7B737828"/>
    <w:rsid w:val="7B7B5C4C"/>
    <w:rsid w:val="7B8A279B"/>
    <w:rsid w:val="7B931C78"/>
    <w:rsid w:val="7B98103C"/>
    <w:rsid w:val="7BBC2F7D"/>
    <w:rsid w:val="7BD81E0F"/>
    <w:rsid w:val="7BE1760E"/>
    <w:rsid w:val="7C2B1EB0"/>
    <w:rsid w:val="7C5517D6"/>
    <w:rsid w:val="7C5A1388"/>
    <w:rsid w:val="7C645B4E"/>
    <w:rsid w:val="7C65340C"/>
    <w:rsid w:val="7C6B49A3"/>
    <w:rsid w:val="7CA31E39"/>
    <w:rsid w:val="7CAE4530"/>
    <w:rsid w:val="7CB10C18"/>
    <w:rsid w:val="7CDF5DC5"/>
    <w:rsid w:val="7CEB6B39"/>
    <w:rsid w:val="7D1C7C1E"/>
    <w:rsid w:val="7D1E3CED"/>
    <w:rsid w:val="7D3B0CA8"/>
    <w:rsid w:val="7D496A92"/>
    <w:rsid w:val="7D57264D"/>
    <w:rsid w:val="7D790DF2"/>
    <w:rsid w:val="7D847477"/>
    <w:rsid w:val="7D8A7DF5"/>
    <w:rsid w:val="7D8B60D9"/>
    <w:rsid w:val="7D8C3E7E"/>
    <w:rsid w:val="7D92468E"/>
    <w:rsid w:val="7DAC7021"/>
    <w:rsid w:val="7DB412C8"/>
    <w:rsid w:val="7DD5336E"/>
    <w:rsid w:val="7DF116BE"/>
    <w:rsid w:val="7DF60E63"/>
    <w:rsid w:val="7DFA0391"/>
    <w:rsid w:val="7E0861B2"/>
    <w:rsid w:val="7E0D6EBF"/>
    <w:rsid w:val="7E0E79B2"/>
    <w:rsid w:val="7E13413D"/>
    <w:rsid w:val="7E15362A"/>
    <w:rsid w:val="7E161C9F"/>
    <w:rsid w:val="7E1A7ACF"/>
    <w:rsid w:val="7E387C6D"/>
    <w:rsid w:val="7E3D1015"/>
    <w:rsid w:val="7E464D80"/>
    <w:rsid w:val="7E6D18E0"/>
    <w:rsid w:val="7E794FBC"/>
    <w:rsid w:val="7E7F6DD4"/>
    <w:rsid w:val="7E8A2AD9"/>
    <w:rsid w:val="7E8D5881"/>
    <w:rsid w:val="7EA146AC"/>
    <w:rsid w:val="7ED71E7C"/>
    <w:rsid w:val="7EED38BC"/>
    <w:rsid w:val="7F086B76"/>
    <w:rsid w:val="7F182BC0"/>
    <w:rsid w:val="7F2D30DE"/>
    <w:rsid w:val="7F453289"/>
    <w:rsid w:val="7F45772D"/>
    <w:rsid w:val="7F461EDE"/>
    <w:rsid w:val="7F586572"/>
    <w:rsid w:val="7F820039"/>
    <w:rsid w:val="7F887585"/>
    <w:rsid w:val="7FBB4315"/>
    <w:rsid w:val="7FE2072A"/>
    <w:rsid w:val="7FE86FDA"/>
    <w:rsid w:val="7FFB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4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240" w:lineRule="auto"/>
      <w:ind w:leftChars="200"/>
      <w:jc w:val="both"/>
      <w:outlineLvl w:val="2"/>
    </w:pPr>
    <w:rPr>
      <w:rFonts w:ascii="仿宋" w:hAnsi="仿宋" w:eastAsia="仿宋" w:cs="Times New Roman"/>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99"/>
    <w:pPr>
      <w:spacing w:after="120"/>
      <w:ind w:left="420" w:leftChars="200"/>
    </w:pPr>
  </w:style>
  <w:style w:type="paragraph" w:styleId="6">
    <w:name w:val="Body Text First Indent 2"/>
    <w:basedOn w:val="5"/>
    <w:next w:val="7"/>
    <w:qFormat/>
    <w:uiPriority w:val="99"/>
    <w:pPr>
      <w:ind w:firstLine="420" w:firstLineChars="200"/>
    </w:pPr>
  </w:style>
  <w:style w:type="paragraph" w:styleId="7">
    <w:name w:val="Body Text First Indent"/>
    <w:basedOn w:val="4"/>
    <w:qFormat/>
    <w:uiPriority w:val="0"/>
    <w:pPr>
      <w:ind w:firstLine="100" w:firstLineChars="1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after="120" w:line="480" w:lineRule="auto"/>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99"/>
    <w:pPr>
      <w:jc w:val="center"/>
      <w:outlineLvl w:val="0"/>
    </w:pPr>
    <w:rPr>
      <w:rFonts w:ascii="Arial" w:hAnsi="Arial"/>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paragraph" w:customStyle="1" w:styleId="19">
    <w:name w:val="BodyText"/>
    <w:basedOn w:val="1"/>
    <w:next w:val="1"/>
    <w:qFormat/>
    <w:uiPriority w:val="0"/>
    <w:pPr>
      <w:spacing w:after="120"/>
      <w:jc w:val="both"/>
      <w:textAlignment w:val="baseline"/>
    </w:pPr>
  </w:style>
  <w:style w:type="paragraph" w:customStyle="1" w:styleId="20">
    <w:name w:val="列出段落1"/>
    <w:basedOn w:val="1"/>
    <w:autoRedefine/>
    <w:qFormat/>
    <w:uiPriority w:val="99"/>
    <w:pPr>
      <w:ind w:firstLine="420" w:firstLineChars="200"/>
    </w:pPr>
  </w:style>
  <w:style w:type="paragraph" w:customStyle="1" w:styleId="21">
    <w:name w:val="TableOfAuthoring"/>
    <w:basedOn w:val="1"/>
    <w:next w:val="1"/>
    <w:qFormat/>
    <w:uiPriority w:val="0"/>
    <w:pPr>
      <w:ind w:left="420" w:leftChars="200"/>
      <w:textAlignment w:val="baseline"/>
    </w:pPr>
    <w:rPr>
      <w:rFonts w:ascii="Calibri" w:hAnsi="Calibri" w:eastAsia="宋体"/>
      <w:sz w:val="21"/>
      <w:szCs w:val="24"/>
    </w:rPr>
  </w:style>
  <w:style w:type="paragraph" w:customStyle="1" w:styleId="22">
    <w:name w:val="UserStyle_0"/>
    <w:basedOn w:val="1"/>
    <w:qFormat/>
    <w:uiPriority w:val="0"/>
    <w:pPr>
      <w:numPr>
        <w:ilvl w:val="0"/>
        <w:numId w:val="1"/>
      </w:numPr>
      <w:jc w:val="both"/>
      <w:textAlignment w:val="baseline"/>
    </w:pPr>
    <w:rPr>
      <w:sz w:val="24"/>
    </w:rPr>
  </w:style>
  <w:style w:type="paragraph" w:customStyle="1" w:styleId="23">
    <w:name w:val="正文-公1"/>
    <w:basedOn w:val="24"/>
    <w:next w:val="9"/>
    <w:qFormat/>
    <w:uiPriority w:val="0"/>
    <w:pPr>
      <w:ind w:firstLine="200" w:firstLineChars="200"/>
    </w:pPr>
    <w:rPr>
      <w:rFonts w:ascii="Times New Roman" w:hAnsi="Times New Roman" w:eastAsia="宋体" w:cs="Times New Roman"/>
    </w:rPr>
  </w:style>
  <w:style w:type="paragraph" w:customStyle="1" w:styleId="24">
    <w:name w:val="正文1"/>
    <w:next w:val="23"/>
    <w:qFormat/>
    <w:uiPriority w:val="0"/>
    <w:pPr>
      <w:jc w:val="both"/>
    </w:pPr>
    <w:rPr>
      <w:rFonts w:ascii="Calibri" w:hAnsi="Calibri" w:eastAsia="宋体" w:cs="黑体"/>
      <w:sz w:val="21"/>
      <w:szCs w:val="22"/>
      <w:lang w:val="en-US" w:eastAsia="zh-CN" w:bidi="ar-SA"/>
    </w:rPr>
  </w:style>
  <w:style w:type="paragraph" w:customStyle="1" w:styleId="25">
    <w:name w:val="No Spacing1"/>
    <w:qFormat/>
    <w:uiPriority w:val="99"/>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17868</Words>
  <Characters>18531</Characters>
  <Lines>0</Lines>
  <Paragraphs>0</Paragraphs>
  <TotalTime>21</TotalTime>
  <ScaleCrop>false</ScaleCrop>
  <LinksUpToDate>false</LinksUpToDate>
  <CharactersWithSpaces>18570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2024-10-10T05:32:00Z</dcterms:created>
  <dc:creator>84863</dc:creator>
  <cp:lastModifiedBy>顺利成张</cp:lastModifiedBy>
  <cp:lastPrinted>2026-02-28T07:17:00Z</cp:lastPrinted>
  <dcterms:modified xsi:type="dcterms:W3CDTF">2026-03-25T02:28:11Z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0F7445AD2C7F4AE9B670293DD18D09DB_13</vt:lpwstr>
  </property>
  <property fmtid="{D5CDD505-2E9C-101B-9397-08002B2CF9AE}" pid="4" name="KSOTemplateDocerSaveRecord">
    <vt:lpwstr>eyJoZGlkIjoiNDVhMDk2OWRlMmIwNDdkYWE3MmYxZGE2YTE0Y2Q0ZTYifQ==</vt:lpwstr>
  </property>
</Properties>
</file>