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bCs/>
          <w:sz w:val="30"/>
          <w:szCs w:val="3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Cs/>
          <w:sz w:val="30"/>
          <w:szCs w:val="30"/>
        </w:rPr>
      </w:pPr>
    </w:p>
    <w:p>
      <w:pPr>
        <w:pStyle w:val="6"/>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lang w:val="en-US" w:eastAsia="zh-CN"/>
        </w:rPr>
        <w:t>同江</w:t>
      </w:r>
      <w:r>
        <w:rPr>
          <w:rFonts w:hint="default" w:ascii="Times New Roman" w:hAnsi="Times New Roman" w:eastAsia="方正小标宋简体" w:cs="Times New Roman"/>
          <w:sz w:val="44"/>
          <w:szCs w:val="44"/>
        </w:rPr>
        <w:t>市人民政府</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关于公布同江市第</w:t>
      </w:r>
      <w:r>
        <w:rPr>
          <w:rFonts w:hint="default" w:ascii="Times New Roman" w:hAnsi="Times New Roman" w:eastAsia="方正小标宋简体" w:cs="Times New Roman"/>
          <w:color w:val="000000"/>
          <w:kern w:val="0"/>
          <w:sz w:val="44"/>
          <w:szCs w:val="44"/>
          <w:lang w:val="en-US" w:eastAsia="zh-CN"/>
        </w:rPr>
        <w:t>四</w:t>
      </w:r>
      <w:r>
        <w:rPr>
          <w:rFonts w:hint="default" w:ascii="Times New Roman" w:hAnsi="Times New Roman" w:eastAsia="方正小标宋简体" w:cs="Times New Roman"/>
          <w:color w:val="000000"/>
          <w:kern w:val="0"/>
          <w:sz w:val="44"/>
          <w:szCs w:val="44"/>
        </w:rPr>
        <w:t>批非物质文化</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遗产</w:t>
      </w:r>
      <w:r>
        <w:rPr>
          <w:rFonts w:hint="default" w:ascii="Times New Roman" w:hAnsi="Times New Roman" w:eastAsia="方正小标宋简体" w:cs="Times New Roman"/>
          <w:color w:val="000000"/>
          <w:kern w:val="0"/>
          <w:sz w:val="44"/>
          <w:szCs w:val="44"/>
          <w:lang w:val="en-US" w:eastAsia="zh-CN"/>
        </w:rPr>
        <w:t>扩展项目</w:t>
      </w:r>
      <w:r>
        <w:rPr>
          <w:rFonts w:hint="default" w:ascii="Times New Roman" w:hAnsi="Times New Roman" w:eastAsia="方正小标宋简体" w:cs="Times New Roman"/>
          <w:color w:val="000000"/>
          <w:kern w:val="0"/>
          <w:sz w:val="44"/>
          <w:szCs w:val="44"/>
        </w:rPr>
        <w:t>名录的通知</w:t>
      </w:r>
    </w:p>
    <w:bookmarkEnd w:id="0"/>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color w:val="000000"/>
          <w:sz w:val="3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镇</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政府</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街道办事处</w:t>
      </w:r>
      <w:r>
        <w:rPr>
          <w:rFonts w:hint="default" w:ascii="Times New Roman" w:hAnsi="Times New Roman" w:eastAsia="仿宋" w:cs="Times New Roman"/>
          <w:sz w:val="32"/>
          <w:szCs w:val="32"/>
        </w:rPr>
        <w:t>，市</w:t>
      </w:r>
      <w:r>
        <w:rPr>
          <w:rFonts w:hint="default" w:ascii="Times New Roman" w:hAnsi="Times New Roman" w:eastAsia="仿宋" w:cs="Times New Roman"/>
          <w:sz w:val="32"/>
          <w:szCs w:val="32"/>
          <w:lang w:val="en-US" w:eastAsia="zh-CN"/>
        </w:rPr>
        <w:t>政府各直属单位</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市政府批准市非物质文化遗产保护中心确定的同江市第四批非物质文化遗产扩展项目名录</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共计3类10项</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，现予公布。</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各部门要按照《中共中央办公厅 国务院办公厅印发&lt;关于进一步加强非物质文化遗产保护工作的意见&gt;的通知》（厅字〔2021〕31号）文件要求，认真贯彻“保护为主、抢救第一、合理利用、传承发展”的工作方针,建立非物质文化遗产名录体系，切实加强对非物质文化遗产的研究、认定、保护和传播，确保非物质文化遗产得以保护、传承和弘扬。</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附件:同江市第四批非物质文化遗产扩展项目名录</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仿宋" w:cs="Times New Roman"/>
          <w:color w:val="000000"/>
          <w:kern w:val="0"/>
          <w:sz w:val="32"/>
          <w:szCs w:val="32"/>
        </w:rPr>
      </w:pPr>
    </w:p>
    <w:p>
      <w:pPr>
        <w:pStyle w:val="2"/>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line="640" w:lineRule="exact"/>
        <w:ind w:firstLine="5440" w:firstLineChars="17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同江市人民政府</w:t>
      </w:r>
    </w:p>
    <w:p>
      <w:pPr>
        <w:pStyle w:val="2"/>
        <w:keepNext w:val="0"/>
        <w:keepLines w:val="0"/>
        <w:pageBreakBefore w:val="0"/>
        <w:kinsoku/>
        <w:wordWrap/>
        <w:overflowPunct/>
        <w:topLinePunct w:val="0"/>
        <w:autoSpaceDE/>
        <w:autoSpaceDN/>
        <w:bidi w:val="0"/>
        <w:adjustRightInd/>
        <w:snapToGrid/>
        <w:spacing w:line="640" w:lineRule="exact"/>
        <w:ind w:firstLine="5440" w:firstLineChars="1700"/>
        <w:textAlignment w:val="auto"/>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2024年5月24日</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40"/>
          <w:szCs w:val="4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附件</w:t>
      </w:r>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000000"/>
          <w:kern w:val="0"/>
          <w:sz w:val="32"/>
          <w:szCs w:val="32"/>
          <w:lang w:val="en-US" w:eastAsia="zh-CN"/>
        </w:rPr>
      </w:pPr>
      <w:r>
        <w:rPr>
          <w:rFonts w:hint="default" w:ascii="Times New Roman" w:hAnsi="Times New Roman" w:eastAsia="黑体" w:cs="Times New Roman"/>
          <w:color w:val="000000"/>
          <w:kern w:val="0"/>
          <w:sz w:val="44"/>
          <w:szCs w:val="44"/>
        </w:rPr>
        <w:t>同江市第</w:t>
      </w:r>
      <w:r>
        <w:rPr>
          <w:rFonts w:hint="default" w:ascii="Times New Roman" w:hAnsi="Times New Roman" w:eastAsia="黑体" w:cs="Times New Roman"/>
          <w:color w:val="000000"/>
          <w:kern w:val="0"/>
          <w:sz w:val="44"/>
          <w:szCs w:val="44"/>
          <w:lang w:val="en-US" w:eastAsia="zh-CN"/>
        </w:rPr>
        <w:t>四</w:t>
      </w:r>
      <w:r>
        <w:rPr>
          <w:rFonts w:hint="default" w:ascii="Times New Roman" w:hAnsi="Times New Roman" w:eastAsia="黑体" w:cs="Times New Roman"/>
          <w:color w:val="000000"/>
          <w:kern w:val="0"/>
          <w:sz w:val="44"/>
          <w:szCs w:val="44"/>
        </w:rPr>
        <w:t>批非物质文化遗产</w:t>
      </w:r>
      <w:r>
        <w:rPr>
          <w:rFonts w:hint="default" w:ascii="Times New Roman" w:hAnsi="Times New Roman" w:eastAsia="黑体" w:cs="Times New Roman"/>
          <w:color w:val="000000"/>
          <w:kern w:val="0"/>
          <w:sz w:val="44"/>
          <w:szCs w:val="44"/>
          <w:lang w:val="en-US" w:eastAsia="zh-CN"/>
        </w:rPr>
        <w:t>扩展项目</w:t>
      </w:r>
      <w:r>
        <w:rPr>
          <w:rFonts w:hint="default" w:ascii="Times New Roman" w:hAnsi="Times New Roman" w:eastAsia="黑体" w:cs="Times New Roman"/>
          <w:color w:val="000000"/>
          <w:kern w:val="0"/>
          <w:sz w:val="44"/>
          <w:szCs w:val="44"/>
        </w:rPr>
        <w:t>名录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lang w:val="en-US" w:eastAsia="zh-CN"/>
        </w:rPr>
      </w:pPr>
      <w:r>
        <w:rPr>
          <w:rFonts w:hint="eastAsia" w:ascii="Times New Roman" w:hAnsi="Times New Roman" w:eastAsia="楷体" w:cs="Times New Roman"/>
          <w:b w:val="0"/>
          <w:bCs w:val="0"/>
          <w:color w:val="000000"/>
          <w:kern w:val="0"/>
          <w:sz w:val="32"/>
          <w:szCs w:val="32"/>
          <w:lang w:val="en-US" w:eastAsia="zh-CN"/>
        </w:rPr>
        <w:t>（</w:t>
      </w:r>
      <w:r>
        <w:rPr>
          <w:rFonts w:hint="default" w:ascii="Times New Roman" w:hAnsi="Times New Roman" w:eastAsia="楷体" w:cs="Times New Roman"/>
          <w:b w:val="0"/>
          <w:bCs w:val="0"/>
          <w:color w:val="000000"/>
          <w:kern w:val="0"/>
          <w:sz w:val="32"/>
          <w:szCs w:val="32"/>
          <w:lang w:val="en-US" w:eastAsia="zh-CN"/>
        </w:rPr>
        <w:t>共计3类</w:t>
      </w:r>
      <w:r>
        <w:rPr>
          <w:rFonts w:hint="eastAsia" w:ascii="Times New Roman" w:hAnsi="Times New Roman" w:eastAsia="楷体" w:cs="Times New Roman"/>
          <w:b w:val="0"/>
          <w:bCs w:val="0"/>
          <w:color w:val="000000"/>
          <w:kern w:val="0"/>
          <w:sz w:val="32"/>
          <w:szCs w:val="32"/>
          <w:lang w:val="en-US" w:eastAsia="zh-CN"/>
        </w:rPr>
        <w:t xml:space="preserve"> </w:t>
      </w:r>
      <w:r>
        <w:rPr>
          <w:rFonts w:hint="default" w:ascii="Times New Roman" w:hAnsi="Times New Roman" w:eastAsia="楷体" w:cs="Times New Roman"/>
          <w:b w:val="0"/>
          <w:bCs w:val="0"/>
          <w:color w:val="000000"/>
          <w:kern w:val="0"/>
          <w:sz w:val="32"/>
          <w:szCs w:val="32"/>
          <w:lang w:val="en-US" w:eastAsia="zh-CN"/>
        </w:rPr>
        <w:t>10项</w:t>
      </w:r>
      <w:r>
        <w:rPr>
          <w:rFonts w:hint="eastAsia" w:ascii="Times New Roman" w:hAnsi="Times New Roman" w:eastAsia="楷体" w:cs="Times New Roman"/>
          <w:b w:val="0"/>
          <w:bCs w:val="0"/>
          <w:color w:val="000000"/>
          <w:kern w:val="0"/>
          <w:sz w:val="32"/>
          <w:szCs w:val="32"/>
          <w:lang w:val="en-US" w:eastAsia="zh-CN"/>
        </w:rPr>
        <w:t>）</w:t>
      </w:r>
    </w:p>
    <w:tbl>
      <w:tblPr>
        <w:tblStyle w:val="8"/>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3211"/>
        <w:gridCol w:w="4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黑体" w:cs="Times New Roman"/>
                <w:color w:val="000000"/>
                <w:sz w:val="32"/>
                <w:szCs w:val="32"/>
                <w:vertAlign w:val="baseline"/>
                <w:lang w:val="en-US" w:eastAsia="zh-CN"/>
              </w:rPr>
              <w:t>传统技艺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1</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鱼皮画制作技艺</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2</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赫哲族全鱼宴</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3</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东北杀猪菜</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4</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东北特色炖菜</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5</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东北铁锅炖</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6</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全驴宴</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7</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羊蝎子火锅</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8</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知味气饼制作技艺</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黑体" w:cs="Times New Roman"/>
                <w:color w:val="000000"/>
                <w:sz w:val="32"/>
                <w:szCs w:val="32"/>
                <w:vertAlign w:val="baseline"/>
                <w:lang w:val="en-US" w:eastAsia="zh-CN"/>
              </w:rPr>
              <w:t>传统美术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9</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赫哲族刺绣</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70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黑体" w:cs="Times New Roman"/>
                <w:color w:val="000000"/>
                <w:sz w:val="32"/>
                <w:szCs w:val="32"/>
                <w:vertAlign w:val="baseline"/>
                <w:lang w:val="en-US" w:eastAsia="zh-CN"/>
              </w:rPr>
              <w:t>传统体育、游艺与杂技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10</w:t>
            </w:r>
          </w:p>
        </w:tc>
        <w:tc>
          <w:tcPr>
            <w:tcW w:w="32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吴氏北派传统太极拳</w:t>
            </w:r>
          </w:p>
        </w:tc>
        <w:tc>
          <w:tcPr>
            <w:tcW w:w="445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000000"/>
                <w:sz w:val="30"/>
                <w:szCs w:val="30"/>
                <w:vertAlign w:val="baseline"/>
                <w:lang w:val="en-US" w:eastAsia="zh-CN"/>
              </w:rPr>
            </w:pPr>
            <w:r>
              <w:rPr>
                <w:rFonts w:hint="default" w:ascii="Times New Roman" w:hAnsi="Times New Roman" w:eastAsia="仿宋" w:cs="Times New Roman"/>
                <w:color w:val="000000"/>
                <w:sz w:val="30"/>
                <w:szCs w:val="30"/>
                <w:vertAlign w:val="baseline"/>
                <w:lang w:val="en-US" w:eastAsia="zh-CN"/>
              </w:rPr>
              <w:t>同江市非物质文化遗产保护中心</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0"/>
          <w:szCs w:val="30"/>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MjczNWIxY2RiYzJmYzc1NzFiNDE3NjQwMjYzYjgifQ=="/>
  </w:docVars>
  <w:rsids>
    <w:rsidRoot w:val="392146D8"/>
    <w:rsid w:val="00C528D4"/>
    <w:rsid w:val="0CBE1877"/>
    <w:rsid w:val="11D24E50"/>
    <w:rsid w:val="15FD5169"/>
    <w:rsid w:val="1650034E"/>
    <w:rsid w:val="1DFC384A"/>
    <w:rsid w:val="213A656E"/>
    <w:rsid w:val="22625D7D"/>
    <w:rsid w:val="241E3F25"/>
    <w:rsid w:val="24C4048D"/>
    <w:rsid w:val="28223C65"/>
    <w:rsid w:val="2B0C0F7B"/>
    <w:rsid w:val="30517430"/>
    <w:rsid w:val="3843220B"/>
    <w:rsid w:val="392146D8"/>
    <w:rsid w:val="3BD34081"/>
    <w:rsid w:val="3CC14813"/>
    <w:rsid w:val="48256D81"/>
    <w:rsid w:val="51625C0C"/>
    <w:rsid w:val="516E4DB0"/>
    <w:rsid w:val="53A45D32"/>
    <w:rsid w:val="545A4256"/>
    <w:rsid w:val="57137C22"/>
    <w:rsid w:val="5AE509B6"/>
    <w:rsid w:val="63250A4F"/>
    <w:rsid w:val="67AC6AD6"/>
    <w:rsid w:val="688F6E0A"/>
    <w:rsid w:val="6ED22F0F"/>
    <w:rsid w:val="714E7574"/>
    <w:rsid w:val="72F378F8"/>
    <w:rsid w:val="733817AF"/>
    <w:rsid w:val="789E3E62"/>
    <w:rsid w:val="79F803D3"/>
    <w:rsid w:val="7F55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Calibri" w:hAnsi="Calibri" w:eastAsia="宋体" w:cs="宋体"/>
      <w:kern w:val="2"/>
      <w:sz w:val="21"/>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No Spacing1"/>
    <w:qFormat/>
    <w:uiPriority w:val="99"/>
    <w:pPr>
      <w:widowControl w:val="0"/>
      <w:jc w:val="both"/>
    </w:pPr>
    <w:rPr>
      <w:rFonts w:ascii="Times New Roman" w:hAnsi="Times New Roman" w:eastAsia="宋体" w:cs="Times New Roman"/>
      <w:kern w:val="2"/>
      <w:sz w:val="32"/>
      <w:szCs w:val="32"/>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587</Words>
  <Characters>605</Characters>
  <Lines>0</Lines>
  <Paragraphs>0</Paragraphs>
  <TotalTime>5</TotalTime>
  <ScaleCrop>false</ScaleCrop>
  <LinksUpToDate>false</LinksUpToDate>
  <CharactersWithSpaces>607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2023-08-31T01:58:00Z</dcterms:created>
  <dc:creator>李瑞</dc:creator>
  <cp:lastModifiedBy> 艾大宝 </cp:lastModifiedBy>
  <cp:lastPrinted>2024-05-24T06:16:00Z</cp:lastPrinted>
  <dcterms:modified xsi:type="dcterms:W3CDTF">2024-07-01T01:43:00Z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2489DC8EEA0B4135A9801DAAC18829F9_13</vt:lpwstr>
  </property>
</Properties>
</file>